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7982"/>
      </w:tblGrid>
      <w:tr w:rsidR="00E0724F" w:rsidTr="00E0724F">
        <w:tc>
          <w:tcPr>
            <w:tcW w:w="1764" w:type="dxa"/>
            <w:vAlign w:val="center"/>
          </w:tcPr>
          <w:p w:rsidR="00E0724F" w:rsidRDefault="00E0724F" w:rsidP="00E0724F">
            <w:pPr>
              <w:jc w:val="center"/>
            </w:pPr>
            <w:r w:rsidRPr="00E0724F">
              <w:rPr>
                <w:noProof/>
                <w:lang w:eastAsia="it-IT"/>
              </w:rPr>
              <w:drawing>
                <wp:inline distT="0" distB="0" distL="0" distR="0" wp14:anchorId="2147EB9B" wp14:editId="5F266775">
                  <wp:extent cx="983112" cy="1277230"/>
                  <wp:effectExtent l="0" t="0" r="0" b="0"/>
                  <wp:docPr id="5" name="Immagine 5" descr="C:\Users\Enrico\AppData\Local\Microsoft\Windows\INetCache\Content.Outlook\YGNIG87Z\Logo_Darsena_DipEcono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rico\AppData\Local\Microsoft\Windows\INetCache\Content.Outlook\YGNIG87Z\Logo_Darsena_DipEcono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12" cy="127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2" w:type="dxa"/>
            <w:vAlign w:val="center"/>
          </w:tcPr>
          <w:p w:rsidR="00891747" w:rsidRDefault="00E0724F" w:rsidP="00337083">
            <w:pPr>
              <w:jc w:val="center"/>
              <w:rPr>
                <w:rFonts w:cstheme="minorHAnsi"/>
                <w:b/>
                <w:sz w:val="36"/>
                <w:u w:val="single"/>
              </w:rPr>
            </w:pPr>
            <w:r w:rsidRPr="00383B01">
              <w:rPr>
                <w:rFonts w:cstheme="minorHAnsi"/>
                <w:b/>
                <w:sz w:val="36"/>
                <w:u w:val="single"/>
              </w:rPr>
              <w:t>Guida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B2573E">
              <w:rPr>
                <w:rFonts w:cstheme="minorHAnsi"/>
                <w:b/>
                <w:sz w:val="36"/>
                <w:u w:val="single"/>
              </w:rPr>
              <w:t>alla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B2573E">
              <w:rPr>
                <w:rFonts w:cstheme="minorHAnsi"/>
                <w:b/>
                <w:sz w:val="36"/>
                <w:u w:val="single"/>
              </w:rPr>
              <w:t>tesi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B2573E">
              <w:rPr>
                <w:rFonts w:cstheme="minorHAnsi"/>
                <w:b/>
                <w:sz w:val="36"/>
                <w:u w:val="single"/>
              </w:rPr>
              <w:t>di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B2573E">
              <w:rPr>
                <w:rFonts w:cstheme="minorHAnsi"/>
                <w:b/>
                <w:sz w:val="36"/>
                <w:u w:val="single"/>
              </w:rPr>
              <w:t>laurea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B2573E">
              <w:rPr>
                <w:rFonts w:cstheme="minorHAnsi"/>
                <w:b/>
                <w:sz w:val="36"/>
                <w:u w:val="single"/>
              </w:rPr>
              <w:t>triennale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740A29">
              <w:rPr>
                <w:rFonts w:cstheme="minorHAnsi"/>
                <w:b/>
                <w:sz w:val="36"/>
                <w:u w:val="single"/>
              </w:rPr>
              <w:t>dei</w:t>
            </w:r>
          </w:p>
          <w:p w:rsidR="0065760E" w:rsidRDefault="0065760E" w:rsidP="00337083">
            <w:pPr>
              <w:jc w:val="center"/>
              <w:rPr>
                <w:rFonts w:cstheme="minorHAnsi"/>
                <w:b/>
                <w:sz w:val="36"/>
                <w:u w:val="single"/>
              </w:rPr>
            </w:pPr>
            <w:r>
              <w:rPr>
                <w:rFonts w:cstheme="minorHAnsi"/>
                <w:b/>
                <w:sz w:val="36"/>
                <w:u w:val="single"/>
              </w:rPr>
              <w:t>Corsi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740A29">
              <w:rPr>
                <w:rFonts w:cstheme="minorHAnsi"/>
                <w:b/>
                <w:sz w:val="36"/>
                <w:u w:val="single"/>
              </w:rPr>
              <w:t>di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740A29">
              <w:rPr>
                <w:rFonts w:cstheme="minorHAnsi"/>
                <w:b/>
                <w:sz w:val="36"/>
                <w:u w:val="single"/>
              </w:rPr>
              <w:t>Laurea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740A29">
              <w:rPr>
                <w:rFonts w:cstheme="minorHAnsi"/>
                <w:b/>
                <w:sz w:val="36"/>
                <w:u w:val="single"/>
              </w:rPr>
              <w:t>della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740A29">
              <w:rPr>
                <w:rFonts w:cstheme="minorHAnsi"/>
                <w:b/>
                <w:sz w:val="36"/>
                <w:u w:val="single"/>
              </w:rPr>
              <w:t>sede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740A29">
              <w:rPr>
                <w:rFonts w:cstheme="minorHAnsi"/>
                <w:b/>
                <w:sz w:val="36"/>
                <w:u w:val="single"/>
              </w:rPr>
              <w:t>di</w:t>
            </w:r>
            <w:r w:rsidR="004A36F2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="00740A29">
              <w:rPr>
                <w:rFonts w:cstheme="minorHAnsi"/>
                <w:b/>
                <w:sz w:val="36"/>
                <w:u w:val="single"/>
              </w:rPr>
              <w:t>Genova</w:t>
            </w:r>
          </w:p>
          <w:p w:rsidR="00BE5F1D" w:rsidRPr="00BE5F1D" w:rsidRDefault="00BE5F1D" w:rsidP="00337083">
            <w:pPr>
              <w:jc w:val="center"/>
              <w:rPr>
                <w:rFonts w:cstheme="minorHAnsi"/>
                <w:b/>
                <w:sz w:val="36"/>
              </w:rPr>
            </w:pPr>
            <w:r w:rsidRPr="00BE5F1D">
              <w:rPr>
                <w:rFonts w:cstheme="minorHAnsi"/>
                <w:b/>
                <w:color w:val="0070C0"/>
                <w:sz w:val="36"/>
              </w:rPr>
              <w:t xml:space="preserve">valida </w:t>
            </w:r>
            <w:bookmarkStart w:id="0" w:name="_GoBack"/>
            <w:bookmarkEnd w:id="0"/>
            <w:r w:rsidRPr="00BE5F1D">
              <w:rPr>
                <w:rFonts w:cstheme="minorHAnsi"/>
                <w:b/>
                <w:color w:val="0070C0"/>
                <w:sz w:val="36"/>
              </w:rPr>
              <w:t>fino al 31/3/2018</w:t>
            </w:r>
          </w:p>
          <w:p w:rsidR="00BE5F1D" w:rsidRPr="00E0724F" w:rsidRDefault="00BE5F1D" w:rsidP="00BE5F1D">
            <w:pPr>
              <w:rPr>
                <w:rFonts w:cstheme="minorHAnsi"/>
                <w:b/>
                <w:sz w:val="36"/>
                <w:u w:val="single"/>
              </w:rPr>
            </w:pPr>
          </w:p>
        </w:tc>
      </w:tr>
      <w:tr w:rsidR="00476D57" w:rsidTr="004A36F2">
        <w:tc>
          <w:tcPr>
            <w:tcW w:w="9746" w:type="dxa"/>
            <w:gridSpan w:val="2"/>
            <w:vAlign w:val="center"/>
          </w:tcPr>
          <w:p w:rsidR="00476D57" w:rsidRPr="00383B01" w:rsidRDefault="00476D57" w:rsidP="00E0724F">
            <w:pPr>
              <w:jc w:val="center"/>
              <w:rPr>
                <w:rFonts w:cstheme="minorHAnsi"/>
                <w:b/>
                <w:sz w:val="36"/>
                <w:u w:val="single"/>
              </w:rPr>
            </w:pPr>
          </w:p>
        </w:tc>
      </w:tr>
      <w:tr w:rsidR="00E0724F" w:rsidTr="00E0724F">
        <w:tc>
          <w:tcPr>
            <w:tcW w:w="9746" w:type="dxa"/>
            <w:gridSpan w:val="2"/>
            <w:shd w:val="clear" w:color="auto" w:fill="FFD966" w:themeFill="accent4" w:themeFillTint="99"/>
            <w:vAlign w:val="center"/>
          </w:tcPr>
          <w:p w:rsidR="00E0724F" w:rsidRPr="00E0724F" w:rsidRDefault="00BE5F1D" w:rsidP="00D7182C">
            <w:pPr>
              <w:shd w:val="clear" w:color="auto" w:fill="FFD966" w:themeFill="accent4" w:themeFillTint="99"/>
              <w:jc w:val="both"/>
              <w:rPr>
                <w:rFonts w:cstheme="minorHAnsi"/>
                <w:b/>
                <w:sz w:val="24"/>
                <w:szCs w:val="24"/>
              </w:rPr>
            </w:pPr>
            <w:hyperlink w:anchor="Modalita" w:history="1"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Modalità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iscrizione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all’esame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Laurea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Triennale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 w:rsidR="004A36F2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w:anchor="Sessioni" w:history="1"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Sessioni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Laurea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cadenze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w:anchor="Valutazione" w:history="1"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Caratteristiche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valutazione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della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prova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finale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per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corsi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B2573E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Genova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573E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 w:rsidR="004A36F2"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Preparazione" w:history="1"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Fasi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della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preparazione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 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91747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 w:rsidR="004A36F2">
              <w:rPr>
                <w:rFonts w:cstheme="minorHAnsi"/>
                <w:b/>
                <w:sz w:val="24"/>
                <w:szCs w:val="24"/>
              </w:rPr>
              <w:t xml:space="preserve">   </w:t>
            </w:r>
            <w:hyperlink w:anchor="Struttura" w:history="1"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Struttura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dell’elaborato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scritto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91747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 w:rsidR="004A36F2"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Antiplagio" w:history="1"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Controllo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antiplagio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91747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 w:rsidR="004A36F2"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Discussione" w:history="1"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Esame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laurea: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presentazione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discussione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891747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dell’elaborato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37083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 w:rsidR="004A36F2"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Voto_finale" w:history="1"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Voto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finale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dell’esame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Laurea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(CdL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 w:rsidR="004A36F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337083" w:rsidRPr="007F4A22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Genova)</w:t>
              </w:r>
            </w:hyperlink>
            <w:r w:rsidR="004A36F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2957A2" w:rsidRPr="00383B01" w:rsidRDefault="002957A2" w:rsidP="002957A2">
      <w:pPr>
        <w:shd w:val="clear" w:color="auto" w:fill="FFFFFF"/>
        <w:spacing w:after="135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</w:pPr>
    </w:p>
    <w:p w:rsidR="002957A2" w:rsidRPr="002957A2" w:rsidRDefault="00B2573E" w:rsidP="00D16C3D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color w:val="333333"/>
          <w:sz w:val="28"/>
          <w:szCs w:val="24"/>
          <w:lang w:eastAsia="it-IT"/>
        </w:rPr>
      </w:pPr>
      <w:bookmarkStart w:id="1" w:name="Modalita"/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Modalità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iscrizione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all’esame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Laurea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Triennale</w:t>
      </w:r>
    </w:p>
    <w:bookmarkEnd w:id="1"/>
    <w:p w:rsidR="00D16C3D" w:rsidRDefault="00D16C3D" w:rsidP="00D16C3D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</w:p>
    <w:p w:rsidR="0097024C" w:rsidRPr="00B2573E" w:rsidRDefault="0097024C" w:rsidP="0097024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sessioni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svolgono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secondo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calendario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didattico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approvato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Dipartimento</w:t>
      </w:r>
      <w:r w:rsidR="003F03C9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(vedi il </w:t>
      </w:r>
      <w:hyperlink r:id="rId9" w:history="1">
        <w:r w:rsidR="003F03C9" w:rsidRPr="003F03C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calendario e le scadenze</w:t>
        </w:r>
      </w:hyperlink>
      <w:r w:rsidR="003F03C9"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DF39A0" w:rsidRDefault="00DF39A0" w:rsidP="00DF39A0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L’iscrizione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effettuata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massimo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5141A">
        <w:rPr>
          <w:rFonts w:eastAsia="Times New Roman" w:cstheme="minorHAnsi"/>
          <w:color w:val="333333"/>
          <w:sz w:val="24"/>
          <w:szCs w:val="24"/>
          <w:lang w:eastAsia="it-IT"/>
        </w:rPr>
        <w:t>2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ancora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sostenere.</w:t>
      </w:r>
    </w:p>
    <w:p w:rsidR="00B2573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60213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60213">
        <w:rPr>
          <w:rFonts w:eastAsia="Times New Roman" w:cstheme="minorHAnsi"/>
          <w:color w:val="333333"/>
          <w:sz w:val="24"/>
          <w:szCs w:val="24"/>
          <w:lang w:eastAsia="it-IT"/>
        </w:rPr>
        <w:t>compila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60213">
        <w:rPr>
          <w:rFonts w:eastAsia="Times New Roman" w:cstheme="minorHAnsi"/>
          <w:color w:val="333333"/>
          <w:sz w:val="24"/>
          <w:szCs w:val="24"/>
          <w:lang w:eastAsia="it-IT"/>
        </w:rPr>
        <w:t>online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60213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60213">
        <w:rPr>
          <w:rFonts w:eastAsia="Times New Roman" w:cstheme="minorHAnsi"/>
          <w:color w:val="333333"/>
          <w:sz w:val="24"/>
          <w:szCs w:val="24"/>
          <w:lang w:eastAsia="it-IT"/>
        </w:rPr>
        <w:t>pagina:</w:t>
      </w:r>
      <w:r w:rsidR="00E37D8F" w:rsidRPr="00E37D8F">
        <w:t xml:space="preserve"> </w:t>
      </w:r>
      <w:hyperlink r:id="rId10" w:history="1">
        <w:r w:rsidR="00E37D8F" w:rsidRPr="00E37D8F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https://servizionline.unige.it/studenti/domandalaurea</w:t>
        </w:r>
      </w:hyperlink>
      <w:r w:rsidR="008737BA">
        <w:rPr>
          <w:rFonts w:eastAsia="Times New Roman" w:cstheme="minorHAnsi"/>
          <w:b/>
          <w:color w:val="333333"/>
          <w:sz w:val="24"/>
          <w:szCs w:val="24"/>
          <w:lang w:eastAsia="it-IT"/>
        </w:rPr>
        <w:t>.</w:t>
      </w:r>
    </w:p>
    <w:p w:rsidR="00DF39A0" w:rsidRPr="00DF39A0" w:rsidRDefault="008737BA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it-IT"/>
        </w:rPr>
        <w:t>D</w:t>
      </w:r>
      <w:r w:rsidRPr="008737BA">
        <w:rPr>
          <w:rFonts w:eastAsia="Times New Roman" w:cstheme="minorHAnsi"/>
          <w:b/>
          <w:color w:val="333333"/>
          <w:sz w:val="24"/>
          <w:szCs w:val="24"/>
          <w:lang w:eastAsia="it-IT"/>
        </w:rPr>
        <w:t>opo la scadenza di compilazione e conferma da parte dello studente</w:t>
      </w:r>
      <w:r w:rsidRPr="008737BA">
        <w:rPr>
          <w:rFonts w:eastAsia="Times New Roman" w:cstheme="minorHAnsi"/>
          <w:color w:val="333333"/>
          <w:sz w:val="24"/>
          <w:szCs w:val="24"/>
          <w:lang w:eastAsia="it-IT"/>
        </w:rPr>
        <w:t>, la 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viene approvata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8737BA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dalla Segreteria didattica del Dipartimento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, previa acquisizione del parere favorevole 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5762A4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147F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147F3E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 verifica amministrativa e didattica della carriera dello studente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DF39A0" w:rsidRPr="00DF39A0" w:rsidRDefault="00F5141A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(i</w:t>
      </w:r>
      <w:r w:rsidR="00B2573E" w:rsidRPr="00DF39A0">
        <w:rPr>
          <w:rFonts w:eastAsia="Times New Roman" w:cstheme="minorHAnsi"/>
          <w:color w:val="333333"/>
          <w:sz w:val="24"/>
          <w:szCs w:val="24"/>
          <w:lang w:eastAsia="it-IT"/>
        </w:rPr>
        <w:t>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DF39A0">
        <w:rPr>
          <w:rFonts w:eastAsia="Times New Roman" w:cstheme="minorHAnsi"/>
          <w:color w:val="333333"/>
          <w:sz w:val="24"/>
          <w:szCs w:val="24"/>
          <w:lang w:eastAsia="it-IT"/>
        </w:rPr>
        <w:t>libretto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cartaceo,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chi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fosse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ancora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possesso,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DF39A0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DF39A0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DF39A0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DF39A0">
        <w:rPr>
          <w:rFonts w:eastAsia="Times New Roman" w:cstheme="minorHAnsi"/>
          <w:color w:val="333333"/>
          <w:sz w:val="24"/>
          <w:szCs w:val="24"/>
          <w:lang w:eastAsia="it-IT"/>
        </w:rPr>
        <w:t>consegnato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nessun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F39A0" w:rsidRPr="00DF39A0">
        <w:rPr>
          <w:rFonts w:eastAsia="Times New Roman" w:cstheme="minorHAnsi"/>
          <w:color w:val="333333"/>
          <w:sz w:val="24"/>
          <w:szCs w:val="24"/>
          <w:lang w:eastAsia="it-IT"/>
        </w:rPr>
        <w:t>ufficio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</w:p>
    <w:p w:rsidR="00B2573E" w:rsidRPr="00D00EEE" w:rsidRDefault="00B2573E" w:rsidP="00D00EEE">
      <w:pPr>
        <w:shd w:val="clear" w:color="auto" w:fill="FFFFFF"/>
        <w:spacing w:before="240"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Regolarità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della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posizione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amministrativa</w:t>
      </w:r>
    </w:p>
    <w:p w:rsidR="00D60213" w:rsidRDefault="00D60213" w:rsidP="00E37D8F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Prima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scadenza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confermare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E37D8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laureandi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invitati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verificare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1" w:history="1"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i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voti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registrati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in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carriera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corrispondano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a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quelli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accettati</w:t>
        </w:r>
      </w:hyperlink>
      <w:r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segnalando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5762A4">
        <w:rPr>
          <w:rFonts w:eastAsia="Times New Roman" w:cstheme="minorHAnsi"/>
          <w:i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Pr="005762A4">
        <w:rPr>
          <w:rFonts w:eastAsia="Times New Roman" w:cstheme="minorHAnsi"/>
          <w:i/>
          <w:color w:val="333333"/>
          <w:sz w:val="24"/>
          <w:szCs w:val="24"/>
          <w:lang w:eastAsia="it-IT"/>
        </w:rPr>
        <w:t>urgenza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ventuali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discrepanze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Segreteria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email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2" w:history="1">
        <w:r w:rsidRPr="00EA1299">
          <w:rPr>
            <w:rStyle w:val="Collegamentoipertestuale"/>
            <w:b/>
            <w:sz w:val="24"/>
            <w:lang w:eastAsia="it-IT"/>
          </w:rPr>
          <w:t>studenti.soc@unige.it</w:t>
        </w:r>
      </w:hyperlink>
      <w:r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D60213" w:rsidRDefault="00D60213" w:rsidP="00D60213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indirizzo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dovrà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utilizzato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quesiti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merito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regolarità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propri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pagamenti</w:t>
      </w:r>
      <w:r w:rsidR="003F03C9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146DAF" w:rsidRDefault="003F03C9" w:rsidP="00D60213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A seguito della </w:t>
      </w:r>
      <w:r w:rsidR="00146DA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procedura di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conferma della domanda, </w:t>
      </w:r>
      <w:r w:rsidR="00DF2AFA">
        <w:rPr>
          <w:rFonts w:eastAsia="Times New Roman" w:cstheme="minorHAnsi"/>
          <w:color w:val="333333"/>
          <w:sz w:val="24"/>
          <w:szCs w:val="24"/>
          <w:lang w:eastAsia="it-IT"/>
        </w:rPr>
        <w:t>il laureando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146DA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trova </w:t>
      </w:r>
      <w:r w:rsidR="00F5141A">
        <w:rPr>
          <w:rFonts w:eastAsia="Times New Roman" w:cstheme="minorHAnsi"/>
          <w:color w:val="333333"/>
          <w:sz w:val="24"/>
          <w:szCs w:val="24"/>
          <w:lang w:eastAsia="it-IT"/>
        </w:rPr>
        <w:t>nei servizi on-line</w:t>
      </w:r>
      <w:r w:rsidR="00146DA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5141A">
        <w:rPr>
          <w:rFonts w:eastAsia="Times New Roman" w:cstheme="minorHAnsi"/>
          <w:color w:val="333333"/>
          <w:sz w:val="24"/>
          <w:szCs w:val="24"/>
          <w:lang w:eastAsia="it-IT"/>
        </w:rPr>
        <w:t>(</w:t>
      </w:r>
      <w:r w:rsidR="00146DAF">
        <w:rPr>
          <w:rFonts w:eastAsia="Times New Roman" w:cstheme="minorHAnsi"/>
          <w:color w:val="333333"/>
          <w:sz w:val="24"/>
          <w:szCs w:val="24"/>
          <w:lang w:eastAsia="it-IT"/>
        </w:rPr>
        <w:t>nella propria pagina dei pagamenti</w:t>
      </w:r>
      <w:r w:rsidR="00F5141A"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="00146DA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l’importo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della tassa</w:t>
      </w:r>
      <w:r w:rsidR="00146DA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di iscrizione alla prova finale per effettuarne il pagamento.</w:t>
      </w:r>
    </w:p>
    <w:p w:rsidR="00B2573E" w:rsidRPr="00B2573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scadenza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l’invio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E37D8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laureandi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dovranno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verificare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pendenze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Biblioteca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dovrà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contattata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comunicare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presi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libri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prestito,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scrivendo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all’indirizzo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posta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3" w:history="1">
        <w:r w:rsidRPr="00EA1299">
          <w:rPr>
            <w:rStyle w:val="Collegamentoipertestuale"/>
            <w:b/>
            <w:sz w:val="24"/>
            <w:lang w:eastAsia="it-IT"/>
          </w:rPr>
          <w:t>biblio@economia.unige.it</w:t>
        </w:r>
      </w:hyperlink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recandosi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presso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locali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siti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Vivaldi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5.</w:t>
      </w:r>
    </w:p>
    <w:p w:rsidR="00F5141A" w:rsidRDefault="00D60213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mancata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regolarizzazione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prestiti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055E8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comportare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2573E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2573E">
        <w:rPr>
          <w:rFonts w:eastAsia="Times New Roman" w:cstheme="minorHAnsi"/>
          <w:color w:val="333333"/>
          <w:sz w:val="24"/>
          <w:szCs w:val="24"/>
          <w:lang w:eastAsia="it-IT"/>
        </w:rPr>
        <w:t>ammissione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all'esame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laurea.</w:t>
      </w:r>
    </w:p>
    <w:p w:rsidR="00B2573E" w:rsidRPr="00B2573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B2573E" w:rsidRPr="00B2573E" w:rsidRDefault="00B2573E" w:rsidP="00D00EEE">
      <w:pPr>
        <w:shd w:val="clear" w:color="auto" w:fill="FFFFFF"/>
        <w:spacing w:before="240"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M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odalità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di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iscrizione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procedure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per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laurearsi</w:t>
      </w:r>
    </w:p>
    <w:p w:rsidR="0097024C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146DA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che non sia in debito di più di 3 esami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aver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concordato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definitivo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dell'elaborato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finale,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055E8">
        <w:rPr>
          <w:rFonts w:eastAsia="Times New Roman" w:cstheme="minorHAnsi"/>
          <w:color w:val="333333"/>
          <w:sz w:val="24"/>
          <w:szCs w:val="24"/>
          <w:lang w:eastAsia="it-IT"/>
        </w:rPr>
        <w:t>avvia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055E8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055E8">
        <w:rPr>
          <w:rFonts w:eastAsia="Times New Roman" w:cstheme="minorHAnsi"/>
          <w:color w:val="333333"/>
          <w:sz w:val="24"/>
          <w:szCs w:val="24"/>
          <w:lang w:eastAsia="it-IT"/>
        </w:rPr>
        <w:t>c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ompila</w:t>
      </w:r>
      <w:r w:rsidR="003055E8">
        <w:rPr>
          <w:rFonts w:eastAsia="Times New Roman" w:cstheme="minorHAnsi"/>
          <w:color w:val="333333"/>
          <w:sz w:val="24"/>
          <w:szCs w:val="24"/>
          <w:lang w:eastAsia="it-IT"/>
        </w:rPr>
        <w:t>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055E8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97024C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>
        <w:rPr>
          <w:rFonts w:eastAsia="Times New Roman" w:cstheme="minorHAnsi"/>
          <w:color w:val="333333"/>
          <w:sz w:val="24"/>
          <w:szCs w:val="24"/>
          <w:lang w:eastAsia="it-IT"/>
        </w:rPr>
        <w:t>preoccupandosi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>
        <w:rPr>
          <w:rFonts w:eastAsia="Times New Roman" w:cstheme="minorHAnsi"/>
          <w:color w:val="333333"/>
          <w:sz w:val="24"/>
          <w:szCs w:val="24"/>
          <w:lang w:eastAsia="it-IT"/>
        </w:rPr>
        <w:t>conoscere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4" w:history="1">
        <w:r w:rsidR="0097024C" w:rsidRPr="00F74B3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scadenze</w:t>
        </w:r>
      </w:hyperlink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entro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quali</w:t>
      </w:r>
      <w:r w:rsidR="0097024C">
        <w:rPr>
          <w:rFonts w:eastAsia="Times New Roman" w:cstheme="minorHAnsi"/>
          <w:color w:val="333333"/>
          <w:sz w:val="24"/>
          <w:szCs w:val="24"/>
          <w:lang w:eastAsia="it-IT"/>
        </w:rPr>
        <w:t>:</w:t>
      </w:r>
    </w:p>
    <w:p w:rsidR="00B2573E" w:rsidRDefault="0097024C" w:rsidP="00E37D8F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lastRenderedPageBreak/>
        <w:t>C</w:t>
      </w:r>
      <w:r w:rsidR="003055E8" w:rsidRPr="0097024C">
        <w:rPr>
          <w:rFonts w:eastAsia="Times New Roman" w:cstheme="minorHAnsi"/>
          <w:color w:val="333333"/>
          <w:sz w:val="24"/>
          <w:szCs w:val="24"/>
          <w:lang w:eastAsia="it-IT"/>
        </w:rPr>
        <w:t>onferma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domanda,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avendo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cura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i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i/>
          <w:color w:val="333333"/>
          <w:sz w:val="24"/>
          <w:szCs w:val="24"/>
          <w:lang w:eastAsia="it-IT"/>
        </w:rPr>
        <w:t>più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i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="00F5141A">
        <w:rPr>
          <w:rFonts w:eastAsia="Times New Roman" w:cstheme="minorHAnsi"/>
          <w:i/>
          <w:color w:val="333333"/>
          <w:sz w:val="24"/>
          <w:szCs w:val="24"/>
          <w:lang w:eastAsia="it-IT"/>
        </w:rPr>
        <w:t>2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i/>
          <w:color w:val="333333"/>
          <w:sz w:val="24"/>
          <w:szCs w:val="24"/>
          <w:lang w:eastAsia="it-IT"/>
        </w:rPr>
        <w:t>esami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i/>
          <w:color w:val="333333"/>
          <w:sz w:val="24"/>
          <w:szCs w:val="24"/>
          <w:lang w:eastAsia="it-IT"/>
        </w:rPr>
        <w:t>ancora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i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i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i/>
          <w:color w:val="333333"/>
          <w:sz w:val="24"/>
          <w:szCs w:val="24"/>
          <w:lang w:eastAsia="it-IT"/>
        </w:rPr>
        <w:t>debito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7024C">
        <w:rPr>
          <w:rFonts w:eastAsia="Times New Roman" w:cstheme="minorHAnsi"/>
          <w:color w:val="333333"/>
          <w:sz w:val="24"/>
          <w:szCs w:val="24"/>
          <w:lang w:eastAsia="it-IT"/>
        </w:rPr>
        <w:t>(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</w:t>
      </w:r>
      <w:r w:rsidR="00B2573E" w:rsidRPr="0097024C">
        <w:rPr>
          <w:rFonts w:eastAsia="Times New Roman" w:cstheme="minorHAnsi"/>
          <w:color w:val="333333"/>
          <w:sz w:val="24"/>
          <w:szCs w:val="24"/>
          <w:lang w:eastAsia="it-IT"/>
        </w:rPr>
        <w:t>aranno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97024C">
        <w:rPr>
          <w:rFonts w:eastAsia="Times New Roman" w:cstheme="minorHAnsi"/>
          <w:color w:val="333333"/>
          <w:sz w:val="24"/>
          <w:szCs w:val="24"/>
          <w:lang w:eastAsia="it-IT"/>
        </w:rPr>
        <w:t>rifiutate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97024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97024C">
        <w:rPr>
          <w:rFonts w:eastAsia="Times New Roman" w:cstheme="minorHAnsi"/>
          <w:color w:val="333333"/>
          <w:sz w:val="24"/>
          <w:szCs w:val="24"/>
          <w:lang w:eastAsia="it-IT"/>
        </w:rPr>
        <w:t>domande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numero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maggiore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esami)</w:t>
      </w:r>
      <w:r w:rsidR="00B2573E" w:rsidRPr="0097024C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7A22E7" w:rsidRDefault="007A22E7" w:rsidP="00E37D8F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Superare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tutti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debito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97024C" w:rsidRDefault="007A22E7" w:rsidP="00E37D8F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nvia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dell'elaborato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proprio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97024C"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076846" w:rsidRDefault="00B361A1" w:rsidP="00E37D8F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Predisporre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(p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revio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accordo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proprio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proprio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formato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.pdf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dimensioni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ridotte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2573E">
        <w:rPr>
          <w:rFonts w:eastAsia="Times New Roman" w:cstheme="minorHAnsi"/>
          <w:color w:val="333333"/>
          <w:sz w:val="24"/>
          <w:szCs w:val="24"/>
          <w:lang w:eastAsia="it-IT"/>
        </w:rPr>
        <w:t>(</w:t>
      </w:r>
      <w:hyperlink r:id="rId15" w:history="1"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come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</w:rPr>
          <w:t xml:space="preserve"> </w:t>
        </w:r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procedere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</w:rPr>
          <w:t xml:space="preserve"> </w:t>
        </w:r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per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</w:rPr>
          <w:t xml:space="preserve"> </w:t>
        </w:r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ridurre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</w:rPr>
          <w:t xml:space="preserve"> </w:t>
        </w:r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le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</w:rPr>
          <w:t xml:space="preserve"> </w:t>
        </w:r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dimensioni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</w:rPr>
          <w:t xml:space="preserve"> </w:t>
        </w:r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del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</w:rPr>
          <w:t xml:space="preserve"> </w:t>
        </w:r>
        <w:r w:rsidR="007A22E7" w:rsidRPr="007A22E7">
          <w:rPr>
            <w:rStyle w:val="Collegamentoipertestuale"/>
            <w:rFonts w:eastAsia="Times New Roman" w:cstheme="minorHAnsi"/>
            <w:b/>
            <w:sz w:val="24"/>
            <w:szCs w:val="24"/>
          </w:rPr>
          <w:t>file</w:t>
        </w:r>
      </w:hyperlink>
      <w:r w:rsidR="007A22E7"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7A22E7" w:rsidRPr="00B361A1" w:rsidRDefault="00076846" w:rsidP="00E37D8F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nviare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file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(il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nome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Cognome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Nome,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Matricola,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Studi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forma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abbreviata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-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es.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“Rossi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Mario_Matr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12345_CLEC.pdf”</w:t>
      </w:r>
      <w:r w:rsidR="00B361A1" w:rsidRPr="00B361A1">
        <w:rPr>
          <w:rFonts w:eastAsia="Times New Roman" w:cstheme="minorHAnsi"/>
          <w:color w:val="333333"/>
          <w:sz w:val="24"/>
          <w:szCs w:val="24"/>
          <w:lang w:eastAsia="it-IT"/>
        </w:rPr>
        <w:t>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all’indirizzo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posta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elettronica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6" w:history="1">
        <w:r w:rsidR="007A22E7" w:rsidRPr="00B361A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tesidilaurea@economia.unige.it</w:t>
        </w:r>
      </w:hyperlink>
      <w:r w:rsidR="004A36F2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b/>
          <w:color w:val="333333"/>
          <w:sz w:val="24"/>
          <w:szCs w:val="24"/>
          <w:lang w:eastAsia="it-IT"/>
        </w:rPr>
        <w:t>i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ndicando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Oggetto: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Cognome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Nome,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Matricola,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Studi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forma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abbreviata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(es.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“Rossi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Mario_Matr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12345_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7A22E7" w:rsidRPr="00B361A1">
        <w:rPr>
          <w:rFonts w:eastAsia="Times New Roman" w:cstheme="minorHAnsi"/>
          <w:color w:val="333333"/>
          <w:sz w:val="24"/>
          <w:szCs w:val="24"/>
          <w:lang w:eastAsia="it-IT"/>
        </w:rPr>
        <w:t>CLEC”).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7A22E7" w:rsidRPr="00B2573E" w:rsidRDefault="007A22E7" w:rsidP="00E37D8F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invii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risponderanno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queste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caratteristiche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saranno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considerati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validi.</w:t>
      </w:r>
    </w:p>
    <w:p w:rsidR="0097024C" w:rsidRPr="0097024C" w:rsidRDefault="0097024C" w:rsidP="007A22E7">
      <w:pPr>
        <w:pStyle w:val="Paragrafoelenco"/>
        <w:shd w:val="clear" w:color="auto" w:fill="FFFFFF"/>
        <w:spacing w:after="135" w:line="240" w:lineRule="auto"/>
        <w:ind w:left="781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B361A1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docenti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76846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76846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:</w:t>
      </w:r>
    </w:p>
    <w:p w:rsidR="00B361A1" w:rsidRDefault="00B361A1" w:rsidP="00E37D8F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Vengono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informati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dell'avvenuta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conferma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tramite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email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emessa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automatico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sistema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on‐line.</w:t>
      </w:r>
    </w:p>
    <w:p w:rsidR="00B2573E" w:rsidRDefault="00B361A1" w:rsidP="00E37D8F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Ricevono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Segreteria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didattica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Dipartimento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l’elenco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dettagliato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tutti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hanno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fatto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domanda,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unitamente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richiesta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disponibilità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composi</w:t>
      </w:r>
      <w:r w:rsidR="009D600C" w:rsidRPr="00B361A1">
        <w:rPr>
          <w:rFonts w:eastAsia="Times New Roman" w:cstheme="minorHAnsi"/>
          <w:color w:val="333333"/>
          <w:sz w:val="24"/>
          <w:szCs w:val="24"/>
          <w:lang w:eastAsia="it-IT"/>
        </w:rPr>
        <w:t>z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commissioni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2573E" w:rsidRPr="00B361A1">
        <w:rPr>
          <w:rFonts w:eastAsia="Times New Roman" w:cstheme="minorHAnsi"/>
          <w:color w:val="333333"/>
          <w:sz w:val="24"/>
          <w:szCs w:val="24"/>
          <w:lang w:eastAsia="it-IT"/>
        </w:rPr>
        <w:t>laurea.</w:t>
      </w:r>
    </w:p>
    <w:p w:rsidR="00B361A1" w:rsidRDefault="00B361A1" w:rsidP="00E37D8F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Effettuano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E513A">
        <w:rPr>
          <w:rFonts w:eastAsia="Times New Roman" w:cstheme="minorHAnsi"/>
          <w:color w:val="333333"/>
          <w:sz w:val="24"/>
          <w:szCs w:val="24"/>
          <w:lang w:eastAsia="it-IT"/>
        </w:rPr>
        <w:t>controllo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E513A">
        <w:rPr>
          <w:rFonts w:eastAsia="Times New Roman" w:cstheme="minorHAnsi"/>
          <w:color w:val="333333"/>
          <w:sz w:val="24"/>
          <w:szCs w:val="24"/>
          <w:lang w:eastAsia="it-IT"/>
        </w:rPr>
        <w:t>antiplagio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dell'elaborato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ricevuto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dai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propri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candidati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procedono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lettura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valutazione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stesso.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B361A1" w:rsidRPr="00B2573E" w:rsidRDefault="00B361A1" w:rsidP="00E37D8F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left="777" w:hanging="357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Comunicano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Segreteria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didattica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nominativi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ammissibili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all’esame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E37D8F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B2573E" w:rsidRDefault="00B2573E" w:rsidP="00D00EEE">
      <w:pPr>
        <w:shd w:val="clear" w:color="auto" w:fill="FFFFFF"/>
        <w:spacing w:before="240" w:after="135" w:line="240" w:lineRule="auto"/>
        <w:ind w:left="374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Circa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settimana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prima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dell’inizio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sessione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riceverà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presso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l’indirizzo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email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indicato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B361A1">
        <w:rPr>
          <w:rFonts w:eastAsia="Times New Roman" w:cstheme="minorHAnsi"/>
          <w:color w:val="333333"/>
          <w:sz w:val="24"/>
          <w:szCs w:val="24"/>
          <w:lang w:eastAsia="it-IT"/>
        </w:rPr>
        <w:t>laurea,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conferma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dell’iscrizione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all’esame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laurea,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insieme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calendario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361A1">
        <w:rPr>
          <w:rFonts w:eastAsia="Times New Roman" w:cstheme="minorHAnsi"/>
          <w:color w:val="333333"/>
          <w:sz w:val="24"/>
          <w:szCs w:val="24"/>
          <w:lang w:eastAsia="it-IT"/>
        </w:rPr>
        <w:t>sedute.</w:t>
      </w:r>
    </w:p>
    <w:p w:rsidR="00B2573E" w:rsidRPr="00B2573E" w:rsidRDefault="009D600C" w:rsidP="00D00EEE">
      <w:pPr>
        <w:shd w:val="clear" w:color="auto" w:fill="FFFFFF"/>
        <w:spacing w:before="240"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M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odifica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titolo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dell’elaborato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finale</w:t>
      </w:r>
    </w:p>
    <w:p w:rsidR="00B2573E" w:rsidRPr="00B2573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modificare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inserito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già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confermata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dovrà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scrivere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all’indirizzo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7" w:history="1">
        <w:r w:rsidR="0099435E" w:rsidRPr="00EA1299">
          <w:rPr>
            <w:rStyle w:val="Collegamentoipertestuale"/>
            <w:b/>
            <w:sz w:val="24"/>
            <w:lang w:eastAsia="it-IT"/>
          </w:rPr>
          <w:t>sportello@economia.unige.it</w:t>
        </w:r>
      </w:hyperlink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indicando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nuovo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relativa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traduzione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inglese.</w:t>
      </w:r>
    </w:p>
    <w:p w:rsidR="009D600C" w:rsidRPr="009D600C" w:rsidRDefault="009D600C" w:rsidP="00D00EEE">
      <w:pPr>
        <w:shd w:val="clear" w:color="auto" w:fill="FFFFFF"/>
        <w:spacing w:before="240"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S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littamento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della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domanda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di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laurea</w:t>
      </w:r>
    </w:p>
    <w:p w:rsidR="00D00EE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conferma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domanda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Segreteria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didattica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00EEE">
        <w:rPr>
          <w:rFonts w:eastAsia="Times New Roman" w:cstheme="minorHAnsi"/>
          <w:color w:val="333333"/>
          <w:sz w:val="24"/>
          <w:szCs w:val="24"/>
          <w:lang w:eastAsia="it-IT"/>
        </w:rPr>
        <w:t>D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ipartimento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effettuare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slittamento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dell’iscrizione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successiva.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B2573E" w:rsidRPr="00B2573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interessati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possono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00EEE">
        <w:rPr>
          <w:rFonts w:eastAsia="Times New Roman" w:cstheme="minorHAnsi"/>
          <w:color w:val="333333"/>
          <w:sz w:val="24"/>
          <w:szCs w:val="24"/>
          <w:lang w:eastAsia="it-IT"/>
        </w:rPr>
        <w:t>farne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00EEE">
        <w:rPr>
          <w:rFonts w:eastAsia="Times New Roman" w:cstheme="minorHAnsi"/>
          <w:color w:val="333333"/>
          <w:sz w:val="24"/>
          <w:szCs w:val="24"/>
          <w:lang w:eastAsia="it-IT"/>
        </w:rPr>
        <w:t>richiesta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00EEE">
        <w:rPr>
          <w:rFonts w:eastAsia="Times New Roman" w:cstheme="minorHAnsi"/>
          <w:color w:val="333333"/>
          <w:sz w:val="24"/>
          <w:szCs w:val="24"/>
          <w:lang w:eastAsia="it-IT"/>
        </w:rPr>
        <w:t>scrivendo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8" w:history="1">
        <w:r w:rsidRPr="00EA1299">
          <w:rPr>
            <w:rStyle w:val="Collegamentoipertestuale"/>
            <w:b/>
            <w:sz w:val="24"/>
            <w:lang w:eastAsia="it-IT"/>
          </w:rPr>
          <w:t>sportello@economia.unige.it</w:t>
        </w:r>
      </w:hyperlink>
      <w:r w:rsidR="00E37D8F">
        <w:rPr>
          <w:rStyle w:val="Collegamentoipertestuale"/>
          <w:b/>
          <w:sz w:val="24"/>
          <w:lang w:eastAsia="it-IT"/>
        </w:rPr>
        <w:t>.</w:t>
      </w:r>
    </w:p>
    <w:p w:rsidR="00B2573E" w:rsidRPr="00B2573E" w:rsidRDefault="009D600C" w:rsidP="00D00EEE">
      <w:pPr>
        <w:shd w:val="clear" w:color="auto" w:fill="FFFFFF"/>
        <w:spacing w:before="240"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R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itiro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della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pergamena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di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laurea</w:t>
      </w:r>
    </w:p>
    <w:p w:rsidR="00B2573E" w:rsidRPr="00B2573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Sarà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controllare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sessioni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quali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ritirare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pergamena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pagina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9" w:history="1">
        <w:r w:rsidRPr="00EA1299">
          <w:rPr>
            <w:rStyle w:val="Collegamentoipertestuale"/>
            <w:b/>
            <w:sz w:val="24"/>
            <w:lang w:eastAsia="it-IT"/>
          </w:rPr>
          <w:t>http://www.studenti.unige.it/iscritti/lauree/</w:t>
        </w:r>
      </w:hyperlink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Portale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Ateneo.</w:t>
      </w:r>
    </w:p>
    <w:p w:rsidR="00B2573E" w:rsidRPr="00B2573E" w:rsidRDefault="009D600C" w:rsidP="00D00EEE">
      <w:pPr>
        <w:shd w:val="clear" w:color="auto" w:fill="FFFFFF"/>
        <w:spacing w:before="240"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R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itiro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certificato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di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laurea</w:t>
      </w:r>
    </w:p>
    <w:p w:rsidR="00B2573E" w:rsidRPr="00B2573E" w:rsidRDefault="00B2573E" w:rsidP="00B2573E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potrà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richiedere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certificato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attestante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conseguito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D00EEE">
        <w:rPr>
          <w:rFonts w:eastAsia="Times New Roman" w:cstheme="minorHAnsi"/>
          <w:color w:val="333333"/>
          <w:sz w:val="24"/>
          <w:szCs w:val="24"/>
          <w:lang w:eastAsia="it-IT"/>
        </w:rPr>
        <w:t>S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egreteria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(Piazza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Nunziata)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munito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marca</w:t>
      </w:r>
      <w:r w:rsidR="004A36F2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bollo</w:t>
      </w:r>
      <w:r w:rsidR="004A36F2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16</w:t>
      </w:r>
      <w:r w:rsidR="004A36F2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euro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documento</w:t>
      </w:r>
      <w:r w:rsidR="004A36F2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  <w:t>d’identità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ritiro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effettuato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delega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persona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fiducia.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suggerisce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attendere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almeno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decina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giorni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proclamazione.</w:t>
      </w:r>
    </w:p>
    <w:p w:rsidR="00B2573E" w:rsidRPr="00B2573E" w:rsidRDefault="00B2573E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E37D8F">
        <w:rPr>
          <w:rFonts w:eastAsia="Times New Roman" w:cstheme="minorHAnsi"/>
          <w:b/>
          <w:color w:val="333333"/>
          <w:sz w:val="24"/>
          <w:szCs w:val="24"/>
          <w:lang w:eastAsia="it-IT"/>
        </w:rPr>
        <w:t>Attenzione!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decorrere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E37D8F">
        <w:rPr>
          <w:rFonts w:eastAsia="Times New Roman" w:cstheme="minorHAnsi"/>
          <w:color w:val="333333"/>
          <w:sz w:val="24"/>
          <w:szCs w:val="24"/>
          <w:lang w:eastAsia="it-IT"/>
        </w:rPr>
        <w:t xml:space="preserve">1° gennaio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2012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(art.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15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Legge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Stabilità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2012)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pubblici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gestori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pubblico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servizio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devono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obbligatoriamente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accettare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2573E">
        <w:rPr>
          <w:rFonts w:eastAsia="Times New Roman" w:cstheme="minorHAnsi"/>
          <w:color w:val="333333"/>
          <w:sz w:val="24"/>
          <w:szCs w:val="24"/>
          <w:lang w:eastAsia="it-IT"/>
        </w:rPr>
        <w:t>autocertificazioni.</w:t>
      </w:r>
    </w:p>
    <w:p w:rsidR="003F19F8" w:rsidRPr="002957A2" w:rsidRDefault="003F19F8" w:rsidP="007E28A6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2957A2" w:rsidRPr="00D16C3D" w:rsidRDefault="00B2573E" w:rsidP="007E28A6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2" w:name="Sessioni"/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Sessioni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Laurea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scadenze</w:t>
      </w:r>
    </w:p>
    <w:bookmarkEnd w:id="2"/>
    <w:p w:rsidR="007E28A6" w:rsidRDefault="007E28A6" w:rsidP="007E28A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</w:p>
    <w:p w:rsidR="00B2573E" w:rsidRDefault="00B2573E" w:rsidP="007E28A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sessioni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scadenze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amministrative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sono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pubblicate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sull’</w:t>
      </w:r>
      <w:hyperlink r:id="rId20" w:history="1">
        <w:r w:rsidRPr="00F74B31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>apposita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 xml:space="preserve"> </w:t>
        </w:r>
        <w:r w:rsidRPr="00F74B31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>pagina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 xml:space="preserve"> </w:t>
        </w:r>
        <w:r w:rsidRPr="00F74B31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>del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 xml:space="preserve"> </w:t>
        </w:r>
        <w:r w:rsidRPr="00F74B31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>sito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 xml:space="preserve"> </w:t>
        </w:r>
        <w:r w:rsidRPr="00F74B31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>internet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 xml:space="preserve"> </w:t>
        </w:r>
        <w:r w:rsidRPr="00F74B31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>del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 xml:space="preserve"> </w:t>
        </w:r>
        <w:r w:rsidRPr="00F74B31">
          <w:rPr>
            <w:rStyle w:val="Collegamentoipertestuale"/>
            <w:rFonts w:eastAsia="Times New Roman" w:cstheme="minorHAnsi"/>
            <w:b/>
            <w:sz w:val="24"/>
            <w:szCs w:val="24"/>
            <w:shd w:val="clear" w:color="auto" w:fill="FFFFFF"/>
            <w:lang w:eastAsia="it-IT"/>
          </w:rPr>
          <w:t>Dipartimento</w:t>
        </w:r>
      </w:hyperlink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.</w:t>
      </w:r>
      <w:r w:rsidR="004A36F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</w:p>
    <w:p w:rsidR="003F19F8" w:rsidRPr="009D600C" w:rsidRDefault="003F19F8" w:rsidP="003F19F8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Default="009D600C" w:rsidP="009D600C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3" w:name="Valutazione"/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Caratteristiche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valutazione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della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prova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finale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per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corsi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Genova</w:t>
      </w:r>
    </w:p>
    <w:bookmarkEnd w:id="3"/>
    <w:p w:rsidR="009D600C" w:rsidRDefault="009D600C" w:rsidP="009D600C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47598">
        <w:rPr>
          <w:rFonts w:eastAsia="Times New Roman" w:cstheme="minorHAnsi"/>
          <w:color w:val="333333"/>
          <w:sz w:val="24"/>
          <w:szCs w:val="24"/>
          <w:lang w:eastAsia="it-IT"/>
        </w:rPr>
        <w:t>L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consiste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discussione,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dinanzi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apposita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teorico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e/o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applicativo,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svolto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concordato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riferimento),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attinente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interessi,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esperienze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(es.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tirocinio,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Erasmus)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purché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afferente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insegnamento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risultati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apprendimento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previsti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consistono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dimostrare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sviluppato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adeguate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capacità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apprendimento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consentano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approfondire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autonomo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specifica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tematica,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utilizzando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appropriato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linguaggio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tecnico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disciplina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afferenza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comunicare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ambiguità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interlocutori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specialisti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specialisti.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triennale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redatto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lingua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inglese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purché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accompagnato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i/>
          <w:color w:val="333333"/>
          <w:sz w:val="24"/>
          <w:szCs w:val="24"/>
          <w:lang w:eastAsia="it-IT"/>
        </w:rPr>
        <w:t>abstract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italiano.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valutazione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verterà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sull’acquisizione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seguenti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competenze:</w:t>
      </w:r>
    </w:p>
    <w:p w:rsidR="009D600C" w:rsidRPr="009D600C" w:rsidRDefault="009D600C" w:rsidP="009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grado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svolgere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autonomo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applicando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conoscenze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acquisite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studi.</w:t>
      </w:r>
    </w:p>
    <w:p w:rsidR="009D600C" w:rsidRPr="009D600C" w:rsidRDefault="009D600C" w:rsidP="009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Sapersi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documentare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informare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corretto,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ricercando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recuperando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materiale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carattere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scientifico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coerente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tematica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sviluppata,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utilizzando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risorse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elettroniche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messe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disposizione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ufficiali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Centro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Servizi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Bibliotecari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dell’Ateneo.</w:t>
      </w:r>
    </w:p>
    <w:p w:rsidR="009D600C" w:rsidRPr="009D600C" w:rsidRDefault="009D600C" w:rsidP="009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Saper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scrivere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risultato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proprio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maniera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adeguata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secondo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tipologia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disciplina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sufficientemente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sintetico,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utilizzando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termini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corretti,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citando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riferimento.</w:t>
      </w:r>
    </w:p>
    <w:p w:rsidR="009D600C" w:rsidRPr="009D600C" w:rsidRDefault="009D600C" w:rsidP="009D7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grado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oralmente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svolto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discutere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efficace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poste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membri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Commissione.</w:t>
      </w:r>
    </w:p>
    <w:p w:rsidR="003F19F8" w:rsidRPr="009D600C" w:rsidRDefault="003F19F8" w:rsidP="003F19F8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bookmarkStart w:id="4" w:name="Preparazione"/>
    </w:p>
    <w:p w:rsidR="009D600C" w:rsidRPr="009D600C" w:rsidRDefault="009D600C" w:rsidP="00891747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Fasi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della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preparazione</w:t>
      </w:r>
    </w:p>
    <w:bookmarkEnd w:id="4"/>
    <w:p w:rsidR="00891747" w:rsidRDefault="00891747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preparazione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scritto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comprende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diverse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fasi:</w:t>
      </w:r>
    </w:p>
    <w:p w:rsidR="009D600C" w:rsidRPr="000965BB" w:rsidRDefault="009D600C" w:rsidP="009D715F">
      <w:pPr>
        <w:pStyle w:val="Paragrafoelenco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Richiesta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definizione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tema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lavoro;</w:t>
      </w:r>
    </w:p>
    <w:p w:rsidR="009D600C" w:rsidRPr="000965BB" w:rsidRDefault="009D600C" w:rsidP="009D715F">
      <w:pPr>
        <w:pStyle w:val="Paragrafoelenco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Ricerca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bibliografica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preliminare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dell’argomento;</w:t>
      </w:r>
    </w:p>
    <w:p w:rsidR="009D600C" w:rsidRPr="000965BB" w:rsidRDefault="009D600C" w:rsidP="009D715F">
      <w:pPr>
        <w:pStyle w:val="Paragrafoelenco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Stesura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scaletta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massima,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definizione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obiettivi;</w:t>
      </w:r>
    </w:p>
    <w:p w:rsidR="009D600C" w:rsidRPr="000965BB" w:rsidRDefault="009D600C" w:rsidP="009D715F">
      <w:pPr>
        <w:pStyle w:val="Paragrafoelenco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Stesura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testo.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Richiesta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al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docente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di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riferimento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definizione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dell’argomento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consiglio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rivolto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intraprendere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richiedere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disponibilità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discipline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hanno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suscitato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interesse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studi.</w:t>
      </w:r>
    </w:p>
    <w:p w:rsidR="004A36F2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contatta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dell’insegnamento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ambito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intende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svolgere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congruo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rispetto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scadenza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prevista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l’iscrizione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all’esame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richiesta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mancano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più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3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esami.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disponibile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concorda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argomento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teorico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pratico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(l’approfondimento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argomento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svolto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corso,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questione,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sentenza,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caso,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un’indagine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altro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eventualmente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correlato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tirocinio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esperienza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lavorativa)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poter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affrontato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impegno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proporzionale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4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CFU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attribuiti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Ricerca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bibliografica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studio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dell’argomento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base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indicazioni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concordate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definizione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dell’oggetto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dell’elaborato,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approfondisce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l’argomento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attraverso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ricerca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bibliografica.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fase,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invitato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avvalersi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CSB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Economia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personale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imparare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21" w:history="1"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consultare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il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0965BB"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ricco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0965BB"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materiale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0965BB"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a</w:t>
        </w:r>
        <w:r w:rsidR="004A36F2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0965BB" w:rsidRPr="00EA1299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disposizione</w:t>
        </w:r>
      </w:hyperlink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ricordano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particolare,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47598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Riviste</w:t>
      </w:r>
      <w:r w:rsidR="004A36F2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 xml:space="preserve"> elettroniche,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attraverso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servizio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Riviste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casa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numerosi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4A36F2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 xml:space="preserve">Banche dati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(Abi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Inform,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Econlit,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Science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Direct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Wiley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Interscience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Springerlink,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ecc.).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E’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usufruire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47598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Prestiti</w:t>
      </w:r>
      <w:r w:rsidR="004A36F2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 xml:space="preserve"> </w:t>
      </w:r>
      <w:r w:rsidRPr="00B47598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interbibliotecari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ossia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consultare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cataloghi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altre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biblioteche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richiedere,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congruo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anticipo,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prestito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prescelto.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Obiettivo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fase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chiarirsi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idee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oggetto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risultati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ricerche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precedenti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argomento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definire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stabilire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maggior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grado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dettaglio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suoi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obiettivi.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Stesura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della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scaletta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di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massima,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con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definizione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degli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obiettivi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Consultando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materiale,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opportuno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appunti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bibliografici,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tenerne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traccia,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andando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comporre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così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massima.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volta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confidenza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l’argomento,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passare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definire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obiettivi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scaletta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massima.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elementi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vengono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discussi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raccogliere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osservazioni.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tratta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impostazione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cruciale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poiché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definizione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logico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coerente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rischia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rivelarsi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esercizio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scrittura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organico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E’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necessario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limiti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riprendere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testi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consultati,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né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B47598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collage</w:t>
      </w:r>
      <w:r w:rsidR="004A36F2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attinte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diverse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risultano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spesso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scollegate),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integri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diverse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relazione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obiettivi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prospettiva,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scaletta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un’importante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guida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scrittura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dell’elaborato.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scaletta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ordine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sequenza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logica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argomenti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infatti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decisivo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evitare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salti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logici,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duplicazioni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perdite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tempo.</w:t>
      </w:r>
    </w:p>
    <w:p w:rsidR="00E37D8F" w:rsidRDefault="00E37D8F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</w:pP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Stesura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del</w:t>
      </w:r>
      <w:r w:rsidR="004A36F2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color w:val="333333"/>
          <w:sz w:val="24"/>
          <w:szCs w:val="24"/>
          <w:u w:val="single"/>
          <w:lang w:eastAsia="it-IT"/>
        </w:rPr>
        <w:t>testo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l’approvazione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livello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approfondimento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trattazione,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procede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autonomamente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stesura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proprio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elaborato,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leggendo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eventualmente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completando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ricerca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già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iniziata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fasi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precedenti.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attività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essenziale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sarà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oggetto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valutazione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competenze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sviluppate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particolare,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competenza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riportata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2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precedente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elenco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numerato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documento).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raccolto,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visionato,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organizzato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materiale,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scrivere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l’elaborato.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Prima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iniziare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fondamentale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preparare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ciascun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paragrafo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schema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ragionamenti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esporre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esaltarne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"consequenzialità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logica";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ogni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trovare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premesse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precede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porne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nuove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segue.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L’autonomia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oggetto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valutazione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(competenza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riportata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1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precedente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elenco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numerato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documento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).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rappresenta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supporto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strike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disposizione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eventuali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dubbi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discutere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eventualmente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“coautore”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corregge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revisiona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bozze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singoli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capitoli.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particolare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riservata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lingua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italiana: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corretto,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errori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ortografia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sintassi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errori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battitura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correttore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ortografico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supporto,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indispensabile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sufficiente).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quindi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necessario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rileggere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attentamente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scritto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più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volte,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particolare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attenzione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termini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tecnici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(competenza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riportata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3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primo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paragrafo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questo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documento).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sempre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indicati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bibliografici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dettagliati,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ossia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cita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parola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parola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occorre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usare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virgolette,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riportando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numero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pagina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corrispondente.</w:t>
      </w:r>
    </w:p>
    <w:p w:rsidR="009D600C" w:rsidRPr="009D600C" w:rsidRDefault="004A36F2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9D600C" w:rsidRPr="009D600C" w:rsidRDefault="009D600C" w:rsidP="00891747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5" w:name="Struttura"/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Struttura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dell’elaborato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scritto</w:t>
      </w:r>
    </w:p>
    <w:bookmarkEnd w:id="5"/>
    <w:p w:rsidR="00891747" w:rsidRDefault="00891747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struttura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concordata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forniscono,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ogni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caso,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alcune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indicazioni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massima.</w:t>
      </w:r>
    </w:p>
    <w:p w:rsidR="009D600C" w:rsidRPr="009D600C" w:rsidRDefault="009D600C" w:rsidP="009D7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Indice</w:t>
      </w:r>
    </w:p>
    <w:p w:rsidR="009D600C" w:rsidRPr="009D600C" w:rsidRDefault="009D600C" w:rsidP="009D7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Abstract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italiano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inglese)</w:t>
      </w:r>
    </w:p>
    <w:p w:rsidR="009D600C" w:rsidRPr="009D600C" w:rsidRDefault="009D600C" w:rsidP="009D7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Svolgimento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suddiviso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capitoli</w:t>
      </w:r>
    </w:p>
    <w:p w:rsidR="009D600C" w:rsidRPr="009D600C" w:rsidRDefault="009D600C" w:rsidP="009D7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Considerazioni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sintesi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(Conclusioni)</w:t>
      </w:r>
    </w:p>
    <w:p w:rsidR="009D600C" w:rsidRPr="009D600C" w:rsidRDefault="009D600C" w:rsidP="009D7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Bibliografia</w:t>
      </w:r>
    </w:p>
    <w:p w:rsidR="00891747" w:rsidRPr="009D600C" w:rsidRDefault="009D600C" w:rsidP="009D7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Formattazione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891747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891747">
        <w:rPr>
          <w:rFonts w:eastAsia="Times New Roman" w:cstheme="minorHAnsi"/>
          <w:color w:val="333333"/>
          <w:sz w:val="24"/>
          <w:szCs w:val="24"/>
          <w:lang w:eastAsia="it-IT"/>
        </w:rPr>
        <w:t>citazione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891747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891747">
        <w:rPr>
          <w:rFonts w:eastAsia="Times New Roman" w:cstheme="minorHAnsi"/>
          <w:color w:val="333333"/>
          <w:sz w:val="24"/>
          <w:szCs w:val="24"/>
          <w:lang w:eastAsia="it-IT"/>
        </w:rPr>
        <w:t>bibliografia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lunghezza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indicativa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dovrebbe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compresa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30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70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pagine,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seconda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caratteristiche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dell’insegnamento.</w:t>
      </w:r>
    </w:p>
    <w:p w:rsidR="009D600C" w:rsidRPr="009D600C" w:rsidRDefault="009D600C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Indice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rispettare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consequenzialità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logica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concordata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titoli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capitoli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paragrafi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dovranno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subito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far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risaltare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contenuto,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evitando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frasi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po’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troppo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“a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effetto”,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taglio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giornalistico.</w:t>
      </w:r>
    </w:p>
    <w:p w:rsidR="0052217F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L'articolazione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dell'indice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due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livelli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(capitoli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paragrafi)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aggiunta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paragrafi).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Articolazioni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più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ampie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evitare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rischio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disperdere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l'attenzione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lettore.</w:t>
      </w:r>
    </w:p>
    <w:p w:rsidR="0052217F" w:rsidRDefault="0052217F">
      <w:pPr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br w:type="page"/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Abstract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(in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italiano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e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in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inglese)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breve,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orientativamente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compreso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150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200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parole.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spiegare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l’oggetto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motivazione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ha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determinato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scelta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dell’argomento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descrivere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estrema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sintesi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metodo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ricerca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seguito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risultati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ottenuti.</w:t>
      </w:r>
    </w:p>
    <w:p w:rsidR="009D600C" w:rsidRPr="009D600C" w:rsidRDefault="009D600C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Svolgimento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suddiviso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in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capitoli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ciascuno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ha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scrivere,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personale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"indisponibile"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(perlomeno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entro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certi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limiti)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Tuttavia,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l'esperienza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passata,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fornire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alcuni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consigli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pratici:</w:t>
      </w:r>
    </w:p>
    <w:p w:rsidR="009D600C" w:rsidRPr="000965BB" w:rsidRDefault="009D600C" w:rsidP="009D715F">
      <w:pPr>
        <w:pStyle w:val="Paragrafoelenco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utilizzare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uno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stile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asciutto,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conciso,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periodi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brevi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molto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ordinati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(soggetto‐verbo‐complementi);</w:t>
      </w:r>
    </w:p>
    <w:p w:rsidR="009D600C" w:rsidRPr="000965BB" w:rsidRDefault="009D600C" w:rsidP="009D715F">
      <w:pPr>
        <w:pStyle w:val="Paragrafoelenco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usare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forma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impersonale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(evitando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l’io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plurale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>maiestatis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);</w:t>
      </w:r>
    </w:p>
    <w:p w:rsidR="009D600C" w:rsidRPr="000965BB" w:rsidRDefault="009D600C" w:rsidP="009D715F">
      <w:pPr>
        <w:pStyle w:val="Paragrafoelenco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evitare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quando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neologismi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dubbia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utilità;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lessico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ricco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congruo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tema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discusso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eccessivamente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ricercato;</w:t>
      </w:r>
    </w:p>
    <w:p w:rsidR="009D600C" w:rsidRPr="000965BB" w:rsidRDefault="009D600C" w:rsidP="009D715F">
      <w:pPr>
        <w:pStyle w:val="Paragrafoelenco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spiegare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ogni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concetto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termine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nuovo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prima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volta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introdotto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trattazione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oltre;</w:t>
      </w:r>
    </w:p>
    <w:p w:rsidR="009D600C" w:rsidRPr="000965BB" w:rsidRDefault="009D600C" w:rsidP="009D715F">
      <w:pPr>
        <w:pStyle w:val="Paragrafoelenco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utilizzare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grafici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tabelle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(numerati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progressivamente)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quando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aiutano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comprensione,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evitarli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quando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disperdono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l'attenzione,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ricordandosi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comunque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richiamarli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commentarli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4"/>
          <w:lang w:eastAsia="it-IT"/>
        </w:rPr>
        <w:t>testo.</w:t>
      </w:r>
    </w:p>
    <w:p w:rsidR="009D600C" w:rsidRPr="009D600C" w:rsidRDefault="009D600C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Considerazioni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di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sintesi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(Conclusioni)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sintetiche.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riassumere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acquisizioni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sviluppate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lasciare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intravedere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sviluppi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futuri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dell’argomento.</w:t>
      </w:r>
    </w:p>
    <w:p w:rsidR="009D600C" w:rsidRPr="009D600C" w:rsidRDefault="009D600C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  <w:r w:rsidRPr="000965BB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Formattazione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e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citazione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della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 xml:space="preserve"> </w:t>
      </w:r>
      <w:r w:rsidRPr="000965BB">
        <w:rPr>
          <w:rFonts w:eastAsia="Times New Roman" w:cstheme="minorHAnsi"/>
          <w:b/>
          <w:bCs/>
          <w:i/>
          <w:iCs/>
          <w:color w:val="333333"/>
          <w:sz w:val="24"/>
          <w:szCs w:val="24"/>
          <w:u w:val="single"/>
          <w:lang w:eastAsia="it-IT"/>
        </w:rPr>
        <w:t>bibliografia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proporre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prima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pagina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frontespizio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22" w:history="1">
        <w:r w:rsidR="00A40EDF" w:rsidRPr="00AA38FE">
          <w:rPr>
            <w:rStyle w:val="Collegamentoipertestuale"/>
            <w:b/>
            <w:sz w:val="24"/>
          </w:rPr>
          <w:t>reperibile qui</w:t>
        </w:r>
      </w:hyperlink>
      <w:r w:rsidR="00A40EDF">
        <w:rPr>
          <w:rStyle w:val="Collegamentoipertestuale"/>
          <w:b/>
          <w:sz w:val="24"/>
        </w:rPr>
        <w:t>.</w:t>
      </w:r>
    </w:p>
    <w:p w:rsidR="000965BB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Salvo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diversa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richiest</w:t>
      </w:r>
      <w:r w:rsidR="00CB667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</w:t>
      </w:r>
      <w:r w:rsidR="00CB667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formattato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seguendo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seguente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0965BB">
        <w:rPr>
          <w:rFonts w:eastAsia="Times New Roman" w:cstheme="minorHAnsi"/>
          <w:color w:val="333333"/>
          <w:sz w:val="24"/>
          <w:szCs w:val="24"/>
          <w:lang w:eastAsia="it-IT"/>
        </w:rPr>
        <w:t>standard: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Margini: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destro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sinistro,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inferiore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superiore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3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cm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Allineamento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testo: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giustificato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pagina: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basso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destra.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Formato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testo: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carattere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Times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New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Roman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12,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interlinea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1,5,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rientro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prima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riga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cm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Formato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piè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pagina: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carattere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Times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New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Roman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10,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interlinea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singola,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nessun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rientro.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Formato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bibliografia: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carattere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Times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New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Roman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12,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interlinea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singola,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rientro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sporgente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cm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Usare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carattere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grassetto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titoli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capitoli,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paragrafi,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sotto</w:t>
      </w:r>
      <w:r w:rsidR="00CB667C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paragrafi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didascalia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grafici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tabelle.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Utilizzare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romani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capitoli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arabi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paragrafi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sotto</w:t>
      </w:r>
      <w:r w:rsidR="00CB667C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paragrafi</w:t>
      </w:r>
    </w:p>
    <w:p w:rsidR="000965BB" w:rsidRPr="000965BB" w:rsidRDefault="000965BB" w:rsidP="009D715F">
      <w:pPr>
        <w:pStyle w:val="Paragrafoelenco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Collocare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fine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pagina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termine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capitolo;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ripartire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zero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ogni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nuovo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capitolo</w:t>
      </w:r>
    </w:p>
    <w:p w:rsidR="000965BB" w:rsidRPr="000965BB" w:rsidRDefault="000965BB" w:rsidP="0089174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I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grafici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e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le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tabelle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Hanno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tutti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titolo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alto)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contrassegnati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progressivo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quale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possa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desumere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collocazione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all’interno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diversi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capitoli: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Tab.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2.3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terza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tabella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2),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Graf.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5.1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primo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grafico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5),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Fig.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1.1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prima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figura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1).</w:t>
      </w:r>
    </w:p>
    <w:p w:rsidR="000965BB" w:rsidRPr="000965BB" w:rsidRDefault="000965BB" w:rsidP="000965BB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Tutti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riportano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basso)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l’indicazione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riportare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bibliografia):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Istat,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2003: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235.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figura,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grafico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tabella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siano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frutto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propria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elaborazione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indica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alcuna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tratta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elaborazione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grafici,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figure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tabelle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presenti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qualche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indica: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“Elaborazione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sulla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base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di”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Istat,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2003: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235.</w:t>
      </w:r>
    </w:p>
    <w:p w:rsidR="000965BB" w:rsidRPr="000965BB" w:rsidRDefault="00891747" w:rsidP="0089174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L</w:t>
      </w:r>
      <w:r w:rsidR="000965BB"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e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="000965BB"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citazioni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corpo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testo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devono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attraverso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richiamo,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parentesi,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cognome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dell’autore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dell’anno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pubblicazione.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reddito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inteso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come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variazione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ricchezza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conferita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proprietari,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causata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dallo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svolgimento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gestione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aziendale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(Zappa,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1951)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oppure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uguaglianze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costituiscono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teoria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Besta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(1920)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teoremi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derivati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partita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doppia.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numero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molto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elevato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autori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sufficiente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l’indicazione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primo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seguito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et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al.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(…)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dimensione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dell’impresa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l’elemento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principe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guida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progettazione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organizzativa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(Pugh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et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al.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1963)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occorra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letteralmente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frase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od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(breve)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passo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tratto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qualsiasi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riportare,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inoltre,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l’indicazione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pagina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quale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pezzo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stato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tratto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pubblicazione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originale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inserita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virgolette.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(…)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taylorismo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molto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più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«lavoro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frantumi»: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particolare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forma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divisione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lavoro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”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(Butera,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1972: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16)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oppure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(…)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sembra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utile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allora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richiamare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questo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proposito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quanto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sostiene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Torre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(2002: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93):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“un’efficace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implementazione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flessibilità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(anche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fattore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lavoro)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azienda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favorita,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parità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condizioni,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presenza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tecnologia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routinaria,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struttura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organica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cultura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innovativa”.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occorra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letteralmente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lingua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straniera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consultata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l’edizione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italiana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occorre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richiamare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entrambe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edizioni.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(…)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determinazione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campo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d’azione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atto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arbitrario,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unilaterale”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(Thompson,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1967,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ed.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it.: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1988: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103).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lingua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straniera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letterale,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invece,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citerà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l’anno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dell’edizione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originale.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(…)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presentato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offre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emblematico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come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tecnologia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concatenamento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(Thompson,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1967)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implichi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un’elevata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interdipendenza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unità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organizzative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interessate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(…)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N.B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.: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citazioni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letterali,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comunque,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giustificano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solo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davvero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necessario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richiamare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pensiero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od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concetto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sua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formulazione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originale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quando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vuole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particolare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enfasi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certa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affermazione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su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essa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voglia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argomentare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critica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od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esame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puntuale.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Ferma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restando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necessità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esclusivamente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effettivamente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consultate,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possibile,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limitati,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più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spesso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nota,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riportare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testo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citata”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testo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nell’ambito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possesso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stata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consultata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originale).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questo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riporterà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dicitura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“cit.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in”.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Esempio: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approfondimento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veda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Rossi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et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al.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(1975)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Maggi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(1988).</w:t>
      </w:r>
    </w:p>
    <w:p w:rsidR="00A40EDF" w:rsidRDefault="00A40EDF" w:rsidP="008917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</w:pPr>
    </w:p>
    <w:p w:rsidR="000965BB" w:rsidRPr="000965BB" w:rsidRDefault="000965BB" w:rsidP="00A40EDF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La</w:t>
      </w:r>
      <w:r w:rsidR="004A36F2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i/>
          <w:iCs/>
          <w:color w:val="333333"/>
          <w:sz w:val="24"/>
          <w:szCs w:val="20"/>
          <w:u w:val="single"/>
          <w:lang w:eastAsia="it-IT"/>
        </w:rPr>
        <w:t>bibliografia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Deve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limitarsi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bibliografia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citata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nell’elaborato,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ordinata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alfabeticamente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cognomi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diversi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autori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cronologicamente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più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lavori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stesso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autore.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caldamente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consigliato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predisporre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bibliografia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procede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stesura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dell’elaborato.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devono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inserite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bibliografia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rispettando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alcune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specifiche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convenzioni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editoriali:</w:t>
      </w:r>
    </w:p>
    <w:p w:rsidR="00891747" w:rsidRDefault="00891747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</w:pPr>
    </w:p>
    <w:p w:rsidR="0052217F" w:rsidRDefault="0052217F">
      <w:pPr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</w:pPr>
      <w:r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br w:type="page"/>
      </w:r>
    </w:p>
    <w:p w:rsidR="000965BB" w:rsidRPr="003F19F8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Articoli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tratti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da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riviste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scientifiche</w:t>
      </w:r>
    </w:p>
    <w:p w:rsidR="000965BB" w:rsidRPr="000965BB" w:rsidRDefault="000965BB" w:rsidP="000965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Pugh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D.S.,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Hickson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D.J.,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Hinings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C.R.,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MacDonald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K.M.,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Turner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Lupton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1963,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conceptual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Scheme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for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Organizational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Analysis”,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Administrative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Science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Quarterly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Vol.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8,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3,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289‐315.</w:t>
      </w:r>
    </w:p>
    <w:p w:rsid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</w:pPr>
    </w:p>
    <w:p w:rsidR="000965BB" w:rsidRPr="003F19F8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Monografie</w:t>
      </w:r>
    </w:p>
    <w:p w:rsidR="000965BB" w:rsidRPr="000965BB" w:rsidRDefault="000965BB" w:rsidP="000965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Butera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1972,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frantumi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ricomposti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–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Struttura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ideologia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nel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declino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«taylorismo»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America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Marsilio,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Venezia.</w:t>
      </w:r>
    </w:p>
    <w:p w:rsid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</w:pPr>
    </w:p>
    <w:p w:rsidR="000965BB" w:rsidRPr="003F19F8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Monografie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in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lingua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straniera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di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cui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è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stata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consultata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l’edizione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italiana</w:t>
      </w:r>
    </w:p>
    <w:p w:rsidR="000965BB" w:rsidRPr="000965BB" w:rsidRDefault="000965BB" w:rsidP="000965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val="en-GB"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Thompson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J.D.,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1967,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>Organizations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>in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>Action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McGraw‐Hill,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New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York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(ed.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it.,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>L’azione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  <w:t>organizzativa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Isedi,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Torino,</w:t>
      </w:r>
      <w:r w:rsidR="004A36F2">
        <w:rPr>
          <w:rFonts w:eastAsia="Times New Roman" w:cstheme="minorHAnsi"/>
          <w:color w:val="333333"/>
          <w:sz w:val="24"/>
          <w:szCs w:val="20"/>
          <w:lang w:val="en-GB"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val="en-GB" w:eastAsia="it-IT"/>
        </w:rPr>
        <w:t>1988)</w:t>
      </w:r>
    </w:p>
    <w:p w:rsidR="000965BB" w:rsidRPr="007F4A22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0"/>
          <w:lang w:val="en-GB" w:eastAsia="it-IT"/>
        </w:rPr>
      </w:pPr>
    </w:p>
    <w:p w:rsidR="000965BB" w:rsidRPr="003F19F8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Curatele</w:t>
      </w:r>
    </w:p>
    <w:p w:rsidR="000965BB" w:rsidRPr="000965BB" w:rsidRDefault="000965BB" w:rsidP="000965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Rossi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Mori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Trinchero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di),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1975,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Il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problema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spiegazione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sociologica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Loescher,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Torino.</w:t>
      </w:r>
    </w:p>
    <w:p w:rsid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</w:pPr>
    </w:p>
    <w:p w:rsidR="000965BB" w:rsidRPr="003F19F8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Capitoli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di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libro</w:t>
      </w:r>
    </w:p>
    <w:p w:rsidR="000965BB" w:rsidRPr="000965BB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Maggi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1992,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“La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ricerca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sociale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nelle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organizzazioni”,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Costa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cura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di),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Manuale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gestione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del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personale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Utet,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Vol.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pp.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83‐103.</w:t>
      </w:r>
    </w:p>
    <w:p w:rsidR="000965BB" w:rsidRDefault="000965BB" w:rsidP="00891747">
      <w:pPr>
        <w:shd w:val="clear" w:color="auto" w:fill="FFFFFF"/>
        <w:spacing w:after="135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</w:pPr>
    </w:p>
    <w:p w:rsidR="000965BB" w:rsidRPr="003F19F8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Relazioni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workshop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convegni</w:t>
      </w:r>
    </w:p>
    <w:p w:rsidR="000965BB" w:rsidRPr="000965BB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Masino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G.,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2003,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Nuove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tecnologie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per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le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decisioni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relazione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presentata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IV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Workshop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docenti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ricercatori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organizzazione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aziendale,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Firenze,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13‐14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febbraio.</w:t>
      </w:r>
    </w:p>
    <w:p w:rsid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</w:pPr>
    </w:p>
    <w:p w:rsidR="000965BB" w:rsidRPr="003F19F8" w:rsidRDefault="000965BB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Risorse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 xml:space="preserve"> </w:t>
      </w:r>
      <w:r w:rsidRPr="003F19F8">
        <w:rPr>
          <w:rFonts w:eastAsia="Times New Roman" w:cstheme="minorHAnsi"/>
          <w:i/>
          <w:iCs/>
          <w:color w:val="333333"/>
          <w:sz w:val="24"/>
          <w:szCs w:val="20"/>
          <w:u w:val="single"/>
          <w:lang w:eastAsia="it-IT"/>
        </w:rPr>
        <w:t>Web</w:t>
      </w:r>
    </w:p>
    <w:p w:rsidR="000965BB" w:rsidRPr="000965BB" w:rsidRDefault="000965BB" w:rsidP="000965BB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Ciani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De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Blasio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(2014).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volte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funzionano: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sussidi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alla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stabilizzazione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dei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precari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Risorsa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web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reperibile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all’indirizzo: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hyperlink r:id="rId23" w:history="1">
        <w:r w:rsidRPr="00EA1299">
          <w:rPr>
            <w:rStyle w:val="Collegamentoipertestuale"/>
            <w:rFonts w:eastAsia="Times New Roman" w:cstheme="minorHAnsi"/>
            <w:b/>
            <w:sz w:val="24"/>
            <w:szCs w:val="20"/>
            <w:lang w:eastAsia="it-IT"/>
          </w:rPr>
          <w:t>http://www.lavoce.info/archives/20619/funzionano-i-sussidi-stabilizzazione-dei-precari/</w:t>
        </w:r>
      </w:hyperlink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(consultato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25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giugno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2014).</w:t>
      </w:r>
    </w:p>
    <w:p w:rsidR="000965BB" w:rsidRPr="000965BB" w:rsidRDefault="000965BB" w:rsidP="000965BB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Livi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Bacci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M.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(2014).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Italiani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verso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la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Gran</w:t>
      </w:r>
      <w:r w:rsidR="004A36F2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i/>
          <w:iCs/>
          <w:color w:val="333333"/>
          <w:sz w:val="24"/>
          <w:szCs w:val="20"/>
          <w:lang w:eastAsia="it-IT"/>
        </w:rPr>
        <w:t>Bretagna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.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Risorsa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web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reperibile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all’indirizzo: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hyperlink r:id="rId24" w:history="1">
        <w:r w:rsidRPr="00EA1299">
          <w:rPr>
            <w:rStyle w:val="Collegamentoipertestuale"/>
            <w:b/>
            <w:sz w:val="24"/>
            <w:lang w:eastAsia="it-IT"/>
          </w:rPr>
          <w:t>http://www.neodemos.it/index.php?file=onenews&amp;form_id_notizia=804</w:t>
        </w:r>
        <w:r w:rsidR="004A36F2">
          <w:rPr>
            <w:rFonts w:eastAsia="Times New Roman" w:cstheme="minorHAnsi"/>
            <w:b/>
            <w:color w:val="444444"/>
            <w:sz w:val="24"/>
            <w:szCs w:val="20"/>
            <w:lang w:eastAsia="it-IT"/>
          </w:rPr>
          <w:t xml:space="preserve"> </w:t>
        </w:r>
      </w:hyperlink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(consultato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25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giugno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0965BB">
        <w:rPr>
          <w:rFonts w:eastAsia="Times New Roman" w:cstheme="minorHAnsi"/>
          <w:color w:val="333333"/>
          <w:sz w:val="24"/>
          <w:szCs w:val="20"/>
          <w:lang w:eastAsia="it-IT"/>
        </w:rPr>
        <w:t>2014).</w:t>
      </w:r>
    </w:p>
    <w:p w:rsidR="009D600C" w:rsidRPr="009D600C" w:rsidRDefault="004A36F2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9D600C" w:rsidRPr="009D600C" w:rsidRDefault="009D600C" w:rsidP="00891747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6" w:name="Antiplagio"/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Controllo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antiplagio</w:t>
      </w:r>
    </w:p>
    <w:bookmarkEnd w:id="6"/>
    <w:p w:rsidR="00891747" w:rsidRDefault="00891747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devono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utilizzare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citandole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adeguatamente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testo,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bibliografia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riportando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sempre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virgolette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parole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altrui.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contrastare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l’uso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improprio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disponibili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rete,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i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testi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degli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elaborati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finali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vengono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sottoposti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ad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un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controllo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antiplagio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mediante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apposito</w:t>
      </w:r>
      <w:r w:rsidR="004A36F2"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C63BCB">
        <w:rPr>
          <w:rFonts w:eastAsia="Times New Roman" w:cstheme="minorHAnsi"/>
          <w:b/>
          <w:color w:val="333333"/>
          <w:sz w:val="24"/>
          <w:szCs w:val="24"/>
          <w:lang w:eastAsia="it-IT"/>
        </w:rPr>
        <w:t>software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scopo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educativo: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ritiene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importante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consci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conseguenze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giuridiche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natura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disciplinare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plagio.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Qualora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ritenga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abbia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utilizzato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correttamente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chiede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rivedere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eventualmente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slittare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l’esame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successiva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sessione.</w:t>
      </w:r>
    </w:p>
    <w:p w:rsidR="00891747" w:rsidRDefault="00891747" w:rsidP="009D600C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891747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7" w:name="Discussione"/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Esame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laurea: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presentazione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discussione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dell’elaborato</w:t>
      </w:r>
    </w:p>
    <w:bookmarkEnd w:id="7"/>
    <w:p w:rsidR="00891747" w:rsidRDefault="00891747" w:rsidP="008917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L’esame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consiste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discussione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pubblica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davanti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apposita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Commissione.</w:t>
      </w:r>
      <w:r w:rsidR="00CB667C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Qualora l’elaborato</w:t>
      </w:r>
      <w:r w:rsidR="00BF6780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sia redatto in inglese, lo svolgimento dell’esame di laurea dovrà comunque essere in lingua italiana.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composta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Presidente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almeno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altri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quattro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Presidente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garante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corretto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svolgimento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particolare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riguarda: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l’impiego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strumenti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ausilio;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garanzia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adeguato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discussione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collegialità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valutazione;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l’appropriatezza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comportamenti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tutti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(docenti,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candidati,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pubblico).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E’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utilizzare,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candidato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ritenga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opportuno,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strumenti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supporto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(es.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PowerPoint)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esclusivamente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illustrare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tabelle,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funzioni,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immagini,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etc.,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necessarie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integrare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l’esposizione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orale.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L’eventuale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video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proiettore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potrà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realizzata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predisponendo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compatibile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sistema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operativo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Windows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8.1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Microsoft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Office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2013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caricato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chiavetta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USB.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video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proiezione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sarà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aula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PC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Dipartimento,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disposizione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candidato.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Eventuali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chiarimenti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natura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tecnica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possono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richiesti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all’indirizzo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email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25" w:history="1">
        <w:r w:rsidR="00C63BCB">
          <w:rPr>
            <w:rStyle w:val="Collegamentoipertestuale"/>
            <w:b/>
            <w:sz w:val="24"/>
            <w:szCs w:val="20"/>
            <w:lang w:eastAsia="it-IT"/>
          </w:rPr>
          <w:t>contatto</w:t>
        </w:r>
        <w:r w:rsidRPr="00EA1299">
          <w:rPr>
            <w:rStyle w:val="Collegamentoipertestuale"/>
            <w:b/>
            <w:sz w:val="24"/>
            <w:szCs w:val="20"/>
            <w:lang w:eastAsia="it-IT"/>
          </w:rPr>
          <w:t>@economia.unige.it</w:t>
        </w:r>
      </w:hyperlink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ciascun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candidato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garantito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tempo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sufficiente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dimostrare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capacità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esprimere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sintetico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efficace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rispondere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domande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formulate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Commissione.</w:t>
      </w:r>
    </w:p>
    <w:p w:rsidR="009D600C" w:rsidRPr="009D600C" w:rsidRDefault="004A36F2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9D600C" w:rsidRPr="009D600C" w:rsidRDefault="00337083" w:rsidP="00891747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8" w:name="Voto_finale"/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V</w:t>
      </w:r>
      <w:r w:rsidR="009D600C"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oto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9D600C"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finale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9D600C"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dell’esame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9D600C"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L</w:t>
      </w:r>
      <w:r w:rsidR="009D600C" w:rsidRPr="00891747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aurea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(CdL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4A36F2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Genova)</w:t>
      </w:r>
    </w:p>
    <w:bookmarkEnd w:id="8"/>
    <w:p w:rsidR="00337083" w:rsidRDefault="00337083" w:rsidP="003F19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voto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sintetizza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tutta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carriera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tenendo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raggiungimento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stesso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obiettivi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formativi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laurea,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coerenza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validità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complessiva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proprio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progetto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formativo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individuale,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costruito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adeguati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gradi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libertà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attività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saperi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strettamente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curriculari.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voto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risulta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somma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elementi</w:t>
      </w:r>
      <w:r w:rsidR="00AA6A89">
        <w:rPr>
          <w:rStyle w:val="Rimandonotaapidipagina"/>
          <w:rFonts w:eastAsia="Times New Roman" w:cstheme="minorHAnsi"/>
          <w:color w:val="333333"/>
          <w:sz w:val="24"/>
          <w:szCs w:val="24"/>
          <w:lang w:eastAsia="it-IT"/>
        </w:rPr>
        <w:footnoteReference w:id="1"/>
      </w:r>
      <w:r w:rsidR="00AA6A89" w:rsidRPr="009D600C">
        <w:rPr>
          <w:rFonts w:eastAsia="Times New Roman" w:cstheme="minorHAnsi"/>
          <w:color w:val="333333"/>
          <w:sz w:val="24"/>
          <w:szCs w:val="24"/>
          <w:lang w:eastAsia="it-IT"/>
        </w:rPr>
        <w:t>:</w:t>
      </w:r>
    </w:p>
    <w:p w:rsidR="009D600C" w:rsidRPr="00337083" w:rsidRDefault="009D600C" w:rsidP="009D71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media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curriculare</w:t>
      </w:r>
    </w:p>
    <w:p w:rsidR="009D600C" w:rsidRPr="00337083" w:rsidRDefault="009D600C" w:rsidP="009D71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lodi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conseguite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negli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esami</w:t>
      </w:r>
    </w:p>
    <w:p w:rsidR="009D600C" w:rsidRPr="00337083" w:rsidRDefault="009D600C" w:rsidP="009D71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valutazione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0"/>
          <w:lang w:eastAsia="it-IT"/>
        </w:rPr>
        <w:t>finale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particolare: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1.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media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curriculare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(espressa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centodecimi)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costituita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media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aritmetica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ponderata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relazione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numero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CFU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attribuiti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ciascun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insegnamento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candidato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votazioni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riportate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comunque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sostenuti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(esa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softHyphen/>
        <w:t>mi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previsti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prescelto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ed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altri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comunque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sostenuti,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nell’ambito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crediti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disponibili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“altre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attività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formative”);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2.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ogni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conseguita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viene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attribuito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aggiunta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valore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0.50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punti;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3.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valutazione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punteggio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massimo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complessivo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attribuibile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pari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5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così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assegnati</w:t>
      </w:r>
      <w:r w:rsidR="00AA6A89">
        <w:rPr>
          <w:rFonts w:eastAsia="Times New Roman" w:cstheme="minorHAnsi"/>
          <w:color w:val="333333"/>
          <w:sz w:val="24"/>
          <w:szCs w:val="24"/>
          <w:lang w:eastAsia="it-IT"/>
        </w:rPr>
        <w:t>:</w:t>
      </w:r>
    </w:p>
    <w:p w:rsidR="009D600C" w:rsidRPr="009D600C" w:rsidRDefault="009D600C" w:rsidP="009D71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punteggio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variabile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0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3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dell’elaborato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(qualità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ricerca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forma,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necessaria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indicazione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utilizzate)</w:t>
      </w:r>
      <w:r w:rsidR="00337083">
        <w:rPr>
          <w:rFonts w:eastAsia="Times New Roman" w:cstheme="minorHAnsi"/>
          <w:color w:val="333333"/>
          <w:sz w:val="24"/>
          <w:szCs w:val="24"/>
          <w:lang w:eastAsia="it-IT"/>
        </w:rPr>
        <w:t>;</w:t>
      </w:r>
    </w:p>
    <w:p w:rsidR="009D600C" w:rsidRPr="009D600C" w:rsidRDefault="009D600C" w:rsidP="009D71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punteggio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variabile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0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2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capacità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presentare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discutere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l’elaborato,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rispondendo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domande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formulate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tema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oggetto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prova.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voto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finale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deriva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unico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arrotondamento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effettuato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punteggio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risultante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dalla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somma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tutti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elementi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precedenti.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L’arrotondamento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avviene:</w:t>
      </w:r>
    </w:p>
    <w:p w:rsidR="009D600C" w:rsidRPr="00337083" w:rsidRDefault="009D600C" w:rsidP="009D715F">
      <w:pPr>
        <w:pStyle w:val="Paragrafoelenco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difetto,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laddove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decimali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siano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minori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uguali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5;</w:t>
      </w:r>
    </w:p>
    <w:p w:rsidR="009D600C" w:rsidRPr="00337083" w:rsidRDefault="009D600C" w:rsidP="009D715F">
      <w:pPr>
        <w:pStyle w:val="Paragrafoelenco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eccesso,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laddove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decimali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siamo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maggiori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37083">
        <w:rPr>
          <w:rFonts w:eastAsia="Times New Roman" w:cstheme="minorHAnsi"/>
          <w:color w:val="333333"/>
          <w:sz w:val="24"/>
          <w:szCs w:val="24"/>
          <w:lang w:eastAsia="it-IT"/>
        </w:rPr>
        <w:t>5.</w:t>
      </w:r>
    </w:p>
    <w:p w:rsidR="009D600C" w:rsidRPr="009D600C" w:rsidRDefault="009D600C" w:rsidP="009D600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Infine,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ove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punteggio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raggiunga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(o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superi)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110,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su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proposta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docente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147F3E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147F3E">
        <w:rPr>
          <w:rFonts w:eastAsia="Times New Roman" w:cstheme="minorHAnsi"/>
          <w:color w:val="333333"/>
          <w:sz w:val="24"/>
          <w:szCs w:val="24"/>
          <w:lang w:eastAsia="it-IT"/>
        </w:rPr>
        <w:t>riferimento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Commissione,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all’unanimità,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attribuire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lode,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quando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abbia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valutato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modo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molto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positivo</w:t>
      </w:r>
      <w:r w:rsidR="004A36F2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l’elaborato.</w:t>
      </w:r>
    </w:p>
    <w:p w:rsidR="00337083" w:rsidRPr="00337083" w:rsidRDefault="00337083" w:rsidP="00337083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32"/>
          <w:szCs w:val="24"/>
          <w:lang w:eastAsia="it-IT"/>
        </w:rPr>
      </w:pPr>
    </w:p>
    <w:sectPr w:rsidR="00337083" w:rsidRPr="00337083" w:rsidSect="00476D57">
      <w:headerReference w:type="default" r:id="rId26"/>
      <w:footerReference w:type="default" r:id="rId27"/>
      <w:pgSz w:w="11906" w:h="16838"/>
      <w:pgMar w:top="84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38" w:rsidRDefault="000D7338" w:rsidP="002957A2">
      <w:pPr>
        <w:spacing w:after="0" w:line="240" w:lineRule="auto"/>
      </w:pPr>
      <w:r>
        <w:separator/>
      </w:r>
    </w:p>
  </w:endnote>
  <w:endnote w:type="continuationSeparator" w:id="0">
    <w:p w:rsidR="000D7338" w:rsidRDefault="000D7338" w:rsidP="0029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F2" w:rsidRDefault="004A36F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0712B5" wp14:editId="03657E21">
              <wp:simplePos x="0" y="0"/>
              <wp:positionH relativeFrom="column">
                <wp:posOffset>6181725</wp:posOffset>
              </wp:positionH>
              <wp:positionV relativeFrom="paragraph">
                <wp:posOffset>253365</wp:posOffset>
              </wp:positionV>
              <wp:extent cx="692150" cy="372110"/>
              <wp:effectExtent l="0" t="0" r="0" b="889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150" cy="3721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48"/>
                              <w:szCs w:val="48"/>
                            </w:rPr>
                            <w:id w:val="176928161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8"/>
                                  <w:szCs w:val="48"/>
                                </w:rPr>
                                <w:id w:val="1024125400"/>
                              </w:sdtPr>
                              <w:sdtEndPr/>
                              <w:sdtContent>
                                <w:p w:rsidR="004A36F2" w:rsidRPr="002957A2" w:rsidRDefault="004A36F2" w:rsidP="002957A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2957A2">
                                    <w:rPr>
                                      <w:rFonts w:eastAsiaTheme="minorEastAsia" w:cs="Times New Roman"/>
                                      <w:color w:val="000000" w:themeColor="text1"/>
                                      <w:sz w:val="16"/>
                                    </w:rPr>
                                    <w:fldChar w:fldCharType="begin"/>
                                  </w:r>
                                  <w:r w:rsidRPr="002957A2">
                                    <w:rPr>
                                      <w:color w:val="000000" w:themeColor="text1"/>
                                      <w:sz w:val="16"/>
                                    </w:rPr>
                                    <w:instrText>PAGE   \* MERGEFORMAT</w:instrText>
                                  </w:r>
                                  <w:r w:rsidRPr="002957A2">
                                    <w:rPr>
                                      <w:rFonts w:eastAsiaTheme="minorEastAsia" w:cs="Times New Roman"/>
                                      <w:color w:val="000000" w:themeColor="text1"/>
                                      <w:sz w:val="16"/>
                                    </w:rPr>
                                    <w:fldChar w:fldCharType="separate"/>
                                  </w:r>
                                  <w:r w:rsidR="00BE5F1D" w:rsidRPr="00BE5F1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  <w:t>10</w:t>
                                  </w:r>
                                  <w:r w:rsidRPr="002957A2">
                                    <w:rPr>
                                      <w:rFonts w:asciiTheme="majorHAnsi" w:eastAsiaTheme="majorEastAsia" w:hAnsiTheme="majorHAnsi" w:cstheme="majorBidi"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A36F2" w:rsidRPr="002957A2" w:rsidRDefault="004A36F2" w:rsidP="002957A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0712B5" id="Rettangolo 4" o:spid="_x0000_s1027" style="position:absolute;margin-left:486.75pt;margin-top:19.95pt;width:54.5pt;height:2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" fillcolor="white [3212]" stroked="f" strokeweight="1pt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8"/>
                        <w:szCs w:val="48"/>
                      </w:rPr>
                      <w:id w:val="176928161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8"/>
                            <w:szCs w:val="48"/>
                          </w:rPr>
                          <w:id w:val="1024125400"/>
                        </w:sdtPr>
                        <w:sdtEndPr/>
                        <w:sdtContent>
                          <w:p w:rsidR="004A36F2" w:rsidRPr="002957A2" w:rsidRDefault="004A36F2" w:rsidP="002957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957A2">
                              <w:rPr>
                                <w:rFonts w:eastAsiaTheme="minorEastAsia" w:cs="Times New Roman"/>
                                <w:color w:val="000000" w:themeColor="text1"/>
                                <w:sz w:val="16"/>
                              </w:rPr>
                              <w:fldChar w:fldCharType="begin"/>
                            </w:r>
                            <w:r w:rsidRPr="002957A2">
                              <w:rPr>
                                <w:color w:val="000000" w:themeColor="text1"/>
                                <w:sz w:val="16"/>
                              </w:rPr>
                              <w:instrText>PAGE   \* MERGEFORMAT</w:instrText>
                            </w:r>
                            <w:r w:rsidRPr="002957A2">
                              <w:rPr>
                                <w:rFonts w:eastAsiaTheme="minorEastAsia" w:cs="Times New Roman"/>
                                <w:color w:val="000000" w:themeColor="text1"/>
                                <w:sz w:val="16"/>
                              </w:rPr>
                              <w:fldChar w:fldCharType="separate"/>
                            </w:r>
                            <w:r w:rsidR="00BE5F1D" w:rsidRPr="00BE5F1D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0000" w:themeColor="text1"/>
                                <w:sz w:val="36"/>
                                <w:szCs w:val="48"/>
                              </w:rPr>
                              <w:t>10</w:t>
                            </w:r>
                            <w:r w:rsidRPr="002957A2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36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4A36F2" w:rsidRPr="002957A2" w:rsidRDefault="004A36F2" w:rsidP="002957A2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E9E60" wp14:editId="082E9767">
              <wp:simplePos x="0" y="0"/>
              <wp:positionH relativeFrom="column">
                <wp:posOffset>-687070</wp:posOffset>
              </wp:positionH>
              <wp:positionV relativeFrom="paragraph">
                <wp:posOffset>256378</wp:posOffset>
              </wp:positionV>
              <wp:extent cx="7559675" cy="372110"/>
              <wp:effectExtent l="0" t="0" r="3175" b="889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7211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36F2" w:rsidRPr="00E136ED" w:rsidRDefault="004A36F2" w:rsidP="00740A29">
                          <w:pPr>
                            <w:spacing w:after="0"/>
                            <w:ind w:right="963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02A3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DIEC – Dipartimento di Economia – U</w:t>
                          </w:r>
                          <w:r w:rsidR="00E37D8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niversità degli Studi di Genova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9E9E60" id="Rettangolo 3" o:spid="_x0000_s1028" style="position:absolute;margin-left:-54.1pt;margin-top:20.2pt;width:595.25pt;height:2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" fillcolor="#ffd966 [1943]" stroked="f" strokeweight="1pt">
              <v:textbox>
                <w:txbxContent>
                  <w:p w:rsidR="004A36F2" w:rsidRPr="00E136ED" w:rsidRDefault="004A36F2" w:rsidP="00740A29">
                    <w:pPr>
                      <w:spacing w:after="0"/>
                      <w:ind w:right="963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8402A3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DIEC – Dipartimento di Economia – U</w:t>
                    </w:r>
                    <w:r w:rsidR="00E37D8F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niversità degli Studi di Genova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38" w:rsidRDefault="000D7338" w:rsidP="002957A2">
      <w:pPr>
        <w:spacing w:after="0" w:line="240" w:lineRule="auto"/>
      </w:pPr>
      <w:r>
        <w:separator/>
      </w:r>
    </w:p>
  </w:footnote>
  <w:footnote w:type="continuationSeparator" w:id="0">
    <w:p w:rsidR="000D7338" w:rsidRDefault="000D7338" w:rsidP="002957A2">
      <w:pPr>
        <w:spacing w:after="0" w:line="240" w:lineRule="auto"/>
      </w:pPr>
      <w:r>
        <w:continuationSeparator/>
      </w:r>
    </w:p>
  </w:footnote>
  <w:footnote w:id="1">
    <w:p w:rsidR="00AA6A89" w:rsidRPr="009D600C" w:rsidRDefault="00AA6A89" w:rsidP="00AA6A89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9D600C">
        <w:rPr>
          <w:rFonts w:eastAsia="Times New Roman" w:cstheme="minorHAnsi"/>
          <w:color w:val="333333"/>
          <w:sz w:val="24"/>
          <w:szCs w:val="24"/>
          <w:lang w:eastAsia="it-IT"/>
        </w:rPr>
        <w:t>I laureandi appartenenti ad Ordinamenti ormai conclusi vedranno applicate le regole di attribuzione punteggio correlate all’Ordinamento di propria appartenenza.</w:t>
      </w:r>
    </w:p>
    <w:p w:rsidR="00AA6A89" w:rsidRDefault="00AA6A89" w:rsidP="00AA6A8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F2" w:rsidRDefault="004A36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-686012</wp:posOffset>
              </wp:positionH>
              <wp:positionV relativeFrom="paragraph">
                <wp:posOffset>-449580</wp:posOffset>
              </wp:positionV>
              <wp:extent cx="7560000" cy="372140"/>
              <wp:effectExtent l="0" t="0" r="3175" b="889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721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36F2" w:rsidRPr="00E136ED" w:rsidRDefault="004A36F2" w:rsidP="00740A29">
                          <w:pPr>
                            <w:spacing w:after="0"/>
                            <w:ind w:left="993" w:right="963"/>
                            <w:jc w:val="right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40A29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Guida alla tesi di laurea triennale dei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D3B3D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Corsi di Laurea (</w:t>
                          </w:r>
                          <w:r w:rsidRPr="00740A29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sede di Genova</w:t>
                          </w:r>
                          <w:r w:rsidR="00FD3B3D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tangolo 2" o:spid="_x0000_s1026" style="position:absolute;margin-left:-54pt;margin-top:-35.4pt;width:595.3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" fillcolor="#ffd966 [1943]" stroked="f" strokeweight="1pt">
              <v:textbox>
                <w:txbxContent>
                  <w:p w:rsidR="004A36F2" w:rsidRPr="00E136ED" w:rsidRDefault="004A36F2" w:rsidP="00740A29">
                    <w:pPr>
                      <w:spacing w:after="0"/>
                      <w:ind w:left="993" w:right="963"/>
                      <w:jc w:val="right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740A29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Guida alla tesi di laurea triennale dei</w:t>
                    </w: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FD3B3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Corsi di Laurea (</w:t>
                    </w:r>
                    <w:r w:rsidRPr="00740A29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sede di Genova</w:t>
                    </w:r>
                    <w:r w:rsidR="00FD3B3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)</w:t>
                    </w:r>
                    <w:bookmarkStart w:id="9" w:name="_GoBack"/>
                    <w:bookmarkEnd w:id="9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322"/>
    <w:multiLevelType w:val="hybridMultilevel"/>
    <w:tmpl w:val="FC1EA81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1B8C700F"/>
    <w:multiLevelType w:val="hybridMultilevel"/>
    <w:tmpl w:val="A1442462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6C9"/>
    <w:multiLevelType w:val="multilevel"/>
    <w:tmpl w:val="13F8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13328"/>
    <w:multiLevelType w:val="hybridMultilevel"/>
    <w:tmpl w:val="99D86C26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34706AED"/>
    <w:multiLevelType w:val="multilevel"/>
    <w:tmpl w:val="C9E6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87E01"/>
    <w:multiLevelType w:val="hybridMultilevel"/>
    <w:tmpl w:val="5EA0A2DC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A3109"/>
    <w:multiLevelType w:val="hybridMultilevel"/>
    <w:tmpl w:val="BAF247B8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42FA"/>
    <w:multiLevelType w:val="multilevel"/>
    <w:tmpl w:val="A9D82E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D6C77"/>
    <w:multiLevelType w:val="multilevel"/>
    <w:tmpl w:val="E1A077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961CF"/>
    <w:multiLevelType w:val="hybridMultilevel"/>
    <w:tmpl w:val="3A0A18C2"/>
    <w:lvl w:ilvl="0" w:tplc="2DAA54B8">
      <w:numFmt w:val="bullet"/>
      <w:lvlText w:val="-"/>
      <w:lvlJc w:val="left"/>
      <w:pPr>
        <w:ind w:left="735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F3602D0"/>
    <w:multiLevelType w:val="multilevel"/>
    <w:tmpl w:val="DE0063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A1D9D"/>
    <w:multiLevelType w:val="hybridMultilevel"/>
    <w:tmpl w:val="7F2C33F6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54FF4"/>
    <w:multiLevelType w:val="multilevel"/>
    <w:tmpl w:val="343E7BF8"/>
    <w:lvl w:ilvl="0">
      <w:start w:val="1"/>
      <w:numFmt w:val="lowerLetter"/>
      <w:lvlText w:val="%1)"/>
      <w:lvlJc w:val="left"/>
      <w:pPr>
        <w:ind w:left="781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77153A5F"/>
    <w:multiLevelType w:val="hybridMultilevel"/>
    <w:tmpl w:val="343E7BF8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2"/>
    <w:rsid w:val="00012717"/>
    <w:rsid w:val="00024809"/>
    <w:rsid w:val="00055961"/>
    <w:rsid w:val="00076846"/>
    <w:rsid w:val="0008072B"/>
    <w:rsid w:val="000965BB"/>
    <w:rsid w:val="000977AA"/>
    <w:rsid w:val="000D7338"/>
    <w:rsid w:val="00122DEB"/>
    <w:rsid w:val="00146DAF"/>
    <w:rsid w:val="00147F3E"/>
    <w:rsid w:val="00153EC1"/>
    <w:rsid w:val="00174379"/>
    <w:rsid w:val="00212028"/>
    <w:rsid w:val="002957A2"/>
    <w:rsid w:val="002C17D4"/>
    <w:rsid w:val="002D155A"/>
    <w:rsid w:val="003055E8"/>
    <w:rsid w:val="00337083"/>
    <w:rsid w:val="0036770E"/>
    <w:rsid w:val="00383B01"/>
    <w:rsid w:val="003F03C9"/>
    <w:rsid w:val="003F19F8"/>
    <w:rsid w:val="00476D57"/>
    <w:rsid w:val="004A36F2"/>
    <w:rsid w:val="0052217F"/>
    <w:rsid w:val="00531FE0"/>
    <w:rsid w:val="00545BDE"/>
    <w:rsid w:val="005762A4"/>
    <w:rsid w:val="005771C2"/>
    <w:rsid w:val="005C7752"/>
    <w:rsid w:val="0062119C"/>
    <w:rsid w:val="0065760E"/>
    <w:rsid w:val="0069614D"/>
    <w:rsid w:val="006C3A29"/>
    <w:rsid w:val="00734337"/>
    <w:rsid w:val="00740A29"/>
    <w:rsid w:val="007966B1"/>
    <w:rsid w:val="007A22E7"/>
    <w:rsid w:val="007E28A6"/>
    <w:rsid w:val="007F4A22"/>
    <w:rsid w:val="00854C83"/>
    <w:rsid w:val="008737BA"/>
    <w:rsid w:val="00891747"/>
    <w:rsid w:val="00897359"/>
    <w:rsid w:val="008B13F6"/>
    <w:rsid w:val="008B1E78"/>
    <w:rsid w:val="008B4BE1"/>
    <w:rsid w:val="008F2F67"/>
    <w:rsid w:val="00955879"/>
    <w:rsid w:val="0097024C"/>
    <w:rsid w:val="00984F3E"/>
    <w:rsid w:val="0099435E"/>
    <w:rsid w:val="00997F21"/>
    <w:rsid w:val="009D600C"/>
    <w:rsid w:val="009D715F"/>
    <w:rsid w:val="009E767A"/>
    <w:rsid w:val="009F5A3C"/>
    <w:rsid w:val="00A13E71"/>
    <w:rsid w:val="00A353B4"/>
    <w:rsid w:val="00A377A7"/>
    <w:rsid w:val="00A40EDF"/>
    <w:rsid w:val="00A51829"/>
    <w:rsid w:val="00A55E07"/>
    <w:rsid w:val="00A86A2D"/>
    <w:rsid w:val="00AA38FE"/>
    <w:rsid w:val="00AA6A89"/>
    <w:rsid w:val="00AD22F5"/>
    <w:rsid w:val="00AF0F13"/>
    <w:rsid w:val="00B2573E"/>
    <w:rsid w:val="00B361A1"/>
    <w:rsid w:val="00B47598"/>
    <w:rsid w:val="00BE5F1D"/>
    <w:rsid w:val="00BF6780"/>
    <w:rsid w:val="00C172B4"/>
    <w:rsid w:val="00C412BE"/>
    <w:rsid w:val="00C63BCB"/>
    <w:rsid w:val="00C94348"/>
    <w:rsid w:val="00CB667C"/>
    <w:rsid w:val="00CF572F"/>
    <w:rsid w:val="00D00EEE"/>
    <w:rsid w:val="00D152E4"/>
    <w:rsid w:val="00D16C3D"/>
    <w:rsid w:val="00D54F7D"/>
    <w:rsid w:val="00D60213"/>
    <w:rsid w:val="00D7182C"/>
    <w:rsid w:val="00DE2D43"/>
    <w:rsid w:val="00DF2AFA"/>
    <w:rsid w:val="00DF39A0"/>
    <w:rsid w:val="00E0724F"/>
    <w:rsid w:val="00E136ED"/>
    <w:rsid w:val="00E236F0"/>
    <w:rsid w:val="00E27B76"/>
    <w:rsid w:val="00E37D8F"/>
    <w:rsid w:val="00E7274E"/>
    <w:rsid w:val="00E85FFE"/>
    <w:rsid w:val="00EA1299"/>
    <w:rsid w:val="00F204F4"/>
    <w:rsid w:val="00F266E4"/>
    <w:rsid w:val="00F5141A"/>
    <w:rsid w:val="00F67E42"/>
    <w:rsid w:val="00F73354"/>
    <w:rsid w:val="00F74B31"/>
    <w:rsid w:val="00F83C03"/>
    <w:rsid w:val="00F90283"/>
    <w:rsid w:val="00FD3B3D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A025D4-490D-406B-89E3-0BFDD3C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A2"/>
  </w:style>
  <w:style w:type="paragraph" w:styleId="Pidipagina">
    <w:name w:val="footer"/>
    <w:basedOn w:val="Normale"/>
    <w:link w:val="PidipaginaCarattere"/>
    <w:uiPriority w:val="99"/>
    <w:unhideWhenUsed/>
    <w:rsid w:val="0029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A2"/>
  </w:style>
  <w:style w:type="character" w:styleId="Collegamentoipertestuale">
    <w:name w:val="Hyperlink"/>
    <w:basedOn w:val="Carpredefinitoparagrafo"/>
    <w:uiPriority w:val="99"/>
    <w:unhideWhenUsed/>
    <w:rsid w:val="002957A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957A2"/>
  </w:style>
  <w:style w:type="paragraph" w:styleId="NormaleWeb">
    <w:name w:val="Normal (Web)"/>
    <w:basedOn w:val="Normale"/>
    <w:uiPriority w:val="99"/>
    <w:semiHidden/>
    <w:unhideWhenUsed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57A2"/>
    <w:rPr>
      <w:b/>
      <w:bCs/>
    </w:rPr>
  </w:style>
  <w:style w:type="paragraph" w:styleId="Paragrafoelenco">
    <w:name w:val="List Paragraph"/>
    <w:basedOn w:val="Normale"/>
    <w:uiPriority w:val="34"/>
    <w:qFormat/>
    <w:rsid w:val="00545BD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83B01"/>
    <w:rPr>
      <w:i/>
      <w:iCs/>
    </w:rPr>
  </w:style>
  <w:style w:type="table" w:styleId="Grigliatabella">
    <w:name w:val="Table Grid"/>
    <w:basedOn w:val="Tabellanormale"/>
    <w:uiPriority w:val="39"/>
    <w:rsid w:val="00E0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E2D43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70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70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7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blio@economia.unige.it" TargetMode="External"/><Relationship Id="rId18" Type="http://schemas.openxmlformats.org/officeDocument/2006/relationships/hyperlink" Target="mailto:sportello@economia.unige.i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conomia.unige.it/sites/www.economia.unige.it/files/pagine/info_biblio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udenti.soc@unige.it" TargetMode="External"/><Relationship Id="rId17" Type="http://schemas.openxmlformats.org/officeDocument/2006/relationships/hyperlink" Target="mailto:sportello@economia.unige.it" TargetMode="External"/><Relationship Id="rId25" Type="http://schemas.openxmlformats.org/officeDocument/2006/relationships/hyperlink" Target="mailto:contatto@economia.unig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onica\AppData\Local\Temp\tesidilaurea@economia.unige.it" TargetMode="External"/><Relationship Id="rId20" Type="http://schemas.openxmlformats.org/officeDocument/2006/relationships/hyperlink" Target="http://diec.unige.it/sessioni-lauree-triennali-scadenz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zionline.unige.it/studenti" TargetMode="External"/><Relationship Id="rId24" Type="http://schemas.openxmlformats.org/officeDocument/2006/relationships/hyperlink" Target="http://www.neodemos.it/index.php?file=onenews&amp;amp;form_id_notizia=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laweb.unige.it/mod/book/view.php?id=14&amp;chapterid=140" TargetMode="External"/><Relationship Id="rId23" Type="http://schemas.openxmlformats.org/officeDocument/2006/relationships/hyperlink" Target="http://www.lavoce.info/archives/20619/funzionano-i-sussidi-stabilizzazione-dei-precar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rvizionline.unige.it/studenti/domandalaurea" TargetMode="External"/><Relationship Id="rId19" Type="http://schemas.openxmlformats.org/officeDocument/2006/relationships/hyperlink" Target="http://www.studenti.unige.it/iscritti/laur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ec.unige.it/sessioni-lauree-triennali-scadenze" TargetMode="External"/><Relationship Id="rId14" Type="http://schemas.openxmlformats.org/officeDocument/2006/relationships/hyperlink" Target="http://diec.unige.it/sessioni-lauree-triennali-scadenze" TargetMode="External"/><Relationship Id="rId22" Type="http://schemas.openxmlformats.org/officeDocument/2006/relationships/hyperlink" Target="http://diec.unige.it/sites/diec.unige.it/files/pagine/prima_pagina_tesine_triennali_1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332F-EF03-4AE0-9C09-84A8E56A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 </cp:lastModifiedBy>
  <cp:revision>3</cp:revision>
  <cp:lastPrinted>2016-12-23T12:28:00Z</cp:lastPrinted>
  <dcterms:created xsi:type="dcterms:W3CDTF">2017-09-19T10:54:00Z</dcterms:created>
  <dcterms:modified xsi:type="dcterms:W3CDTF">2017-09-19T10:55:00Z</dcterms:modified>
</cp:coreProperties>
</file>